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ordWrap/>
        <w:overflowPunct/>
        <w:topLinePunct w:val="0"/>
        <w:bidi w:val="0"/>
        <w:spacing w:line="360" w:lineRule="auto"/>
        <w:jc w:val="center"/>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 xml:space="preserve">  CPMA团体标准《</w:t>
      </w:r>
      <w:r>
        <w:rPr>
          <w:rFonts w:hint="eastAsia" w:eastAsia="黑体" w:cs="Times New Roman"/>
          <w:color w:val="auto"/>
          <w:sz w:val="32"/>
          <w:szCs w:val="32"/>
          <w:highlight w:val="none"/>
          <w:lang w:eastAsia="zh-CN"/>
        </w:rPr>
        <w:t>振荡热压真空烧结炉</w:t>
      </w:r>
      <w:r>
        <w:rPr>
          <w:rFonts w:hint="default" w:ascii="Times New Roman" w:hAnsi="Times New Roman" w:eastAsia="黑体" w:cs="Times New Roman"/>
          <w:color w:val="auto"/>
          <w:sz w:val="32"/>
          <w:szCs w:val="32"/>
          <w:highlight w:val="none"/>
        </w:rPr>
        <w:t>》编制说明</w:t>
      </w:r>
    </w:p>
    <w:p>
      <w:pPr>
        <w:keepNext w:val="0"/>
        <w:keepLines w:val="0"/>
        <w:pageBreakBefore w:val="0"/>
        <w:wordWrap/>
        <w:overflowPunct/>
        <w:topLinePunct w:val="0"/>
        <w:bidi w:val="0"/>
        <w:spacing w:line="360" w:lineRule="auto"/>
        <w:ind w:firstLine="470" w:firstLineChars="196"/>
        <w:rPr>
          <w:rFonts w:hint="default" w:ascii="Times New Roman" w:hAnsi="Times New Roman" w:cs="Times New Roman"/>
          <w:b/>
          <w:bCs/>
          <w:color w:val="auto"/>
          <w:sz w:val="24"/>
          <w:szCs w:val="24"/>
          <w:highlight w:val="none"/>
        </w:rPr>
      </w:pPr>
      <w:r>
        <w:rPr>
          <w:rFonts w:hint="eastAsia" w:ascii="黑体" w:hAnsi="黑体" w:eastAsia="黑体" w:cs="黑体"/>
          <w:b w:val="0"/>
          <w:bCs w:val="0"/>
          <w:color w:val="auto"/>
          <w:sz w:val="24"/>
          <w:szCs w:val="24"/>
          <w:highlight w:val="none"/>
        </w:rPr>
        <w:t>一、工作简况</w:t>
      </w:r>
    </w:p>
    <w:p>
      <w:pPr>
        <w:pStyle w:val="14"/>
        <w:keepNext w:val="0"/>
        <w:keepLines w:val="0"/>
        <w:pageBreakBefore w:val="0"/>
        <w:wordWrap/>
        <w:overflowPunct/>
        <w:topLinePunct w:val="0"/>
        <w:bidi w:val="0"/>
        <w:spacing w:line="360" w:lineRule="auto"/>
        <w:ind w:firstLineChars="0"/>
        <w:rPr>
          <w:rFonts w:hint="default"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lang w:val="en-US" w:eastAsia="zh-CN"/>
        </w:rPr>
        <w:t xml:space="preserve">1.1 </w:t>
      </w:r>
      <w:r>
        <w:rPr>
          <w:rFonts w:hint="default" w:ascii="Times New Roman" w:hAnsi="Times New Roman" w:cs="Times New Roman"/>
          <w:color w:val="auto"/>
          <w:sz w:val="24"/>
          <w:szCs w:val="24"/>
          <w:highlight w:val="none"/>
        </w:rPr>
        <w:t>下达计划任务的完整名称、项目计划发布文件号、本项目的计划代号；</w:t>
      </w:r>
    </w:p>
    <w:p>
      <w:pPr>
        <w:pStyle w:val="14"/>
        <w:keepNext w:val="0"/>
        <w:keepLines w:val="0"/>
        <w:pageBreakBefore w:val="0"/>
        <w:wordWrap/>
        <w:overflowPunct/>
        <w:topLinePunct w:val="0"/>
        <w:bidi w:val="0"/>
        <w:spacing w:line="360" w:lineRule="auto"/>
        <w:ind w:firstLineChars="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本项目是根据粉末冶金产业技术创新战略联盟202</w:t>
      </w:r>
      <w:r>
        <w:rPr>
          <w:rFonts w:hint="default" w:ascii="Times New Roman" w:hAnsi="Times New Roman" w:cs="Times New Roman"/>
          <w:color w:val="auto"/>
          <w:sz w:val="24"/>
          <w:szCs w:val="24"/>
          <w:highlight w:val="none"/>
          <w:lang w:val="en-US" w:eastAsia="zh-CN"/>
        </w:rPr>
        <w:t>4</w:t>
      </w:r>
      <w:r>
        <w:rPr>
          <w:rFonts w:hint="default" w:ascii="Times New Roman" w:hAnsi="Times New Roman" w:cs="Times New Roman"/>
          <w:color w:val="auto"/>
          <w:sz w:val="24"/>
          <w:szCs w:val="24"/>
          <w:highlight w:val="none"/>
        </w:rPr>
        <w:t>年度团体标准制订计划，编制的</w:t>
      </w:r>
      <w:r>
        <w:rPr>
          <w:rFonts w:hint="eastAsia" w:ascii="Times New Roman" w:cs="Times New Roman"/>
          <w:color w:val="auto"/>
          <w:sz w:val="24"/>
          <w:szCs w:val="24"/>
          <w:highlight w:val="none"/>
          <w:lang w:eastAsia="zh-CN"/>
        </w:rPr>
        <w:t>《振荡热压真空烧结炉》</w:t>
      </w:r>
      <w:r>
        <w:rPr>
          <w:rFonts w:hint="default" w:ascii="Times New Roman" w:hAnsi="Times New Roman" w:cs="Times New Roman"/>
          <w:color w:val="auto"/>
          <w:sz w:val="24"/>
          <w:szCs w:val="24"/>
          <w:highlight w:val="none"/>
        </w:rPr>
        <w:t>。计划应完成时间202</w:t>
      </w:r>
      <w:r>
        <w:rPr>
          <w:rFonts w:hint="default" w:ascii="Times New Roman" w:hAnsi="Times New Roman" w:cs="Times New Roman"/>
          <w:color w:val="auto"/>
          <w:sz w:val="24"/>
          <w:szCs w:val="24"/>
          <w:highlight w:val="none"/>
          <w:lang w:val="en-US" w:eastAsia="zh-CN"/>
        </w:rPr>
        <w:t>4</w:t>
      </w:r>
      <w:r>
        <w:rPr>
          <w:rFonts w:hint="default" w:ascii="Times New Roman" w:hAnsi="Times New Roman" w:cs="Times New Roman"/>
          <w:color w:val="auto"/>
          <w:sz w:val="24"/>
          <w:szCs w:val="24"/>
          <w:highlight w:val="none"/>
        </w:rPr>
        <w:t>年。</w:t>
      </w:r>
    </w:p>
    <w:p>
      <w:pPr>
        <w:pStyle w:val="14"/>
        <w:keepNext w:val="0"/>
        <w:keepLines w:val="0"/>
        <w:pageBreakBefore w:val="0"/>
        <w:wordWrap/>
        <w:overflowPunct/>
        <w:topLinePunct w:val="0"/>
        <w:bidi w:val="0"/>
        <w:spacing w:line="360" w:lineRule="auto"/>
        <w:ind w:firstLineChars="0"/>
        <w:rPr>
          <w:rFonts w:hint="default"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lang w:val="en-US" w:eastAsia="zh-CN"/>
        </w:rPr>
        <w:t xml:space="preserve">1.2 </w:t>
      </w:r>
      <w:r>
        <w:rPr>
          <w:rFonts w:hint="default" w:ascii="Times New Roman" w:hAnsi="Times New Roman" w:cs="Times New Roman"/>
          <w:color w:val="auto"/>
          <w:sz w:val="24"/>
          <w:szCs w:val="24"/>
          <w:highlight w:val="none"/>
        </w:rPr>
        <w:t>主要承办单位完整名称、副主办单位或协作单位完整名称；</w:t>
      </w:r>
    </w:p>
    <w:p>
      <w:pPr>
        <w:pStyle w:val="14"/>
        <w:keepNext w:val="0"/>
        <w:keepLines w:val="0"/>
        <w:pageBreakBefore w:val="0"/>
        <w:wordWrap/>
        <w:overflowPunct/>
        <w:topLinePunct w:val="0"/>
        <w:bidi w:val="0"/>
        <w:spacing w:line="360" w:lineRule="auto"/>
        <w:ind w:firstLineChars="0"/>
        <w:rPr>
          <w:rFonts w:hint="eastAsia"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val="en-US" w:eastAsia="zh-CN"/>
        </w:rPr>
        <w:t>株洲万融新材科技有限公司</w:t>
      </w:r>
      <w:r>
        <w:rPr>
          <w:rFonts w:hint="eastAsia" w:ascii="Times New Roman" w:cs="Times New Roman"/>
          <w:color w:val="auto"/>
          <w:sz w:val="24"/>
          <w:szCs w:val="24"/>
          <w:highlight w:val="none"/>
          <w:lang w:val="en-US" w:eastAsia="zh-CN"/>
        </w:rPr>
        <w:t>为本标准主要</w:t>
      </w:r>
      <w:r>
        <w:rPr>
          <w:rFonts w:hint="default" w:ascii="Times New Roman" w:hAnsi="Times New Roman" w:cs="Times New Roman"/>
          <w:color w:val="auto"/>
          <w:sz w:val="24"/>
          <w:szCs w:val="24"/>
          <w:highlight w:val="none"/>
        </w:rPr>
        <w:t>承办单位</w:t>
      </w:r>
      <w:r>
        <w:rPr>
          <w:rFonts w:hint="eastAsia" w:ascii="Times New Roman" w:hAnsi="Times New Roman" w:cs="Times New Roman"/>
          <w:color w:val="auto"/>
          <w:sz w:val="24"/>
          <w:szCs w:val="24"/>
          <w:highlight w:val="none"/>
          <w:lang w:eastAsia="zh-CN"/>
        </w:rPr>
        <w:t>，成立于2017年9月</w:t>
      </w:r>
      <w:r>
        <w:rPr>
          <w:rFonts w:hint="eastAsia" w:ascii="Times New Roman" w:cs="Times New Roman"/>
          <w:color w:val="auto"/>
          <w:sz w:val="24"/>
          <w:szCs w:val="24"/>
          <w:highlight w:val="none"/>
          <w:lang w:eastAsia="zh-CN"/>
        </w:rPr>
        <w:t>，</w:t>
      </w:r>
      <w:r>
        <w:rPr>
          <w:rFonts w:hint="eastAsia" w:ascii="Times New Roman" w:cs="Times New Roman"/>
          <w:color w:val="auto"/>
          <w:sz w:val="24"/>
          <w:szCs w:val="24"/>
          <w:highlight w:val="none"/>
          <w:lang w:val="en-US" w:eastAsia="zh-CN"/>
        </w:rPr>
        <w:t>位于湖南省</w:t>
      </w:r>
      <w:r>
        <w:rPr>
          <w:rFonts w:hint="eastAsia" w:ascii="Times New Roman" w:hAnsi="Times New Roman" w:cs="Times New Roman"/>
          <w:color w:val="auto"/>
          <w:sz w:val="24"/>
          <w:szCs w:val="24"/>
          <w:highlight w:val="none"/>
          <w:lang w:eastAsia="zh-CN"/>
        </w:rPr>
        <w:t>株洲</w:t>
      </w:r>
      <w:r>
        <w:rPr>
          <w:rFonts w:hint="eastAsia" w:ascii="Times New Roman" w:cs="Times New Roman"/>
          <w:color w:val="auto"/>
          <w:sz w:val="24"/>
          <w:szCs w:val="24"/>
          <w:highlight w:val="none"/>
          <w:lang w:val="en-US" w:eastAsia="zh-CN"/>
        </w:rPr>
        <w:t>市</w:t>
      </w:r>
      <w:r>
        <w:rPr>
          <w:rFonts w:hint="eastAsia" w:ascii="Times New Roman" w:hAnsi="Times New Roman" w:cs="Times New Roman"/>
          <w:color w:val="auto"/>
          <w:sz w:val="24"/>
          <w:szCs w:val="24"/>
          <w:highlight w:val="none"/>
          <w:lang w:eastAsia="zh-CN"/>
        </w:rPr>
        <w:t>中国动力谷，注册资金500万元</w:t>
      </w:r>
      <w:r>
        <w:rPr>
          <w:rFonts w:hint="eastAsia" w:ascii="Times New Roman" w:cs="Times New Roman"/>
          <w:color w:val="auto"/>
          <w:sz w:val="24"/>
          <w:szCs w:val="24"/>
          <w:highlight w:val="none"/>
          <w:lang w:eastAsia="zh-CN"/>
        </w:rPr>
        <w:t>。</w:t>
      </w:r>
      <w:r>
        <w:rPr>
          <w:rFonts w:hint="eastAsia" w:ascii="Times New Roman" w:cs="Times New Roman"/>
          <w:color w:val="auto"/>
          <w:sz w:val="24"/>
          <w:szCs w:val="24"/>
          <w:highlight w:val="none"/>
          <w:lang w:val="en-US" w:eastAsia="zh-CN"/>
        </w:rPr>
        <w:t>为</w:t>
      </w:r>
      <w:r>
        <w:rPr>
          <w:rFonts w:hint="eastAsia" w:ascii="Times New Roman" w:hAnsi="Times New Roman" w:cs="Times New Roman"/>
          <w:color w:val="auto"/>
          <w:sz w:val="24"/>
          <w:szCs w:val="24"/>
          <w:highlight w:val="none"/>
          <w:lang w:eastAsia="zh-CN"/>
        </w:rPr>
        <w:t>株洲高新区引进的创新型材料企业</w:t>
      </w:r>
      <w:r>
        <w:rPr>
          <w:rFonts w:hint="eastAsia" w:asci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eastAsia="zh-CN"/>
        </w:rPr>
        <w:t>公司与</w:t>
      </w:r>
      <w:r>
        <w:rPr>
          <w:rFonts w:hint="eastAsia" w:ascii="Times New Roman" w:cs="Times New Roman"/>
          <w:color w:val="auto"/>
          <w:sz w:val="24"/>
          <w:szCs w:val="24"/>
          <w:highlight w:val="none"/>
          <w:lang w:val="en-US" w:eastAsia="zh-CN"/>
        </w:rPr>
        <w:t>钢研高纳、</w:t>
      </w:r>
      <w:r>
        <w:rPr>
          <w:rFonts w:hint="eastAsia" w:ascii="Times New Roman" w:hAnsi="Times New Roman" w:cs="Times New Roman"/>
          <w:color w:val="auto"/>
          <w:sz w:val="24"/>
          <w:szCs w:val="24"/>
          <w:highlight w:val="none"/>
          <w:lang w:eastAsia="zh-CN"/>
        </w:rPr>
        <w:t>清华大学紧密合作，专注于</w:t>
      </w:r>
      <w:r>
        <w:rPr>
          <w:rFonts w:hint="eastAsia" w:ascii="Times New Roman" w:cs="Times New Roman"/>
          <w:color w:val="auto"/>
          <w:sz w:val="24"/>
          <w:szCs w:val="24"/>
          <w:highlight w:val="none"/>
          <w:lang w:val="en-US" w:eastAsia="zh-CN"/>
        </w:rPr>
        <w:t>粉末高温合金涡轮盘、</w:t>
      </w:r>
      <w:r>
        <w:rPr>
          <w:rFonts w:hint="eastAsia" w:ascii="Times New Roman" w:hAnsi="Times New Roman" w:cs="Times New Roman"/>
          <w:color w:val="auto"/>
          <w:sz w:val="24"/>
          <w:szCs w:val="24"/>
          <w:highlight w:val="none"/>
          <w:lang w:eastAsia="zh-CN"/>
        </w:rPr>
        <w:t>金属陶瓷、高端超硬合金、结构陶瓷、高致密靶材等</w:t>
      </w:r>
      <w:r>
        <w:rPr>
          <w:rFonts w:hint="eastAsia" w:ascii="Times New Roman" w:cs="Times New Roman"/>
          <w:color w:val="auto"/>
          <w:sz w:val="24"/>
          <w:szCs w:val="24"/>
          <w:highlight w:val="none"/>
          <w:lang w:val="en-US" w:eastAsia="zh-CN"/>
        </w:rPr>
        <w:t>高端材料及装备</w:t>
      </w:r>
      <w:r>
        <w:rPr>
          <w:rFonts w:hint="eastAsia" w:ascii="Times New Roman" w:hAnsi="Times New Roman" w:cs="Times New Roman"/>
          <w:color w:val="auto"/>
          <w:sz w:val="24"/>
          <w:szCs w:val="24"/>
          <w:highlight w:val="none"/>
          <w:lang w:eastAsia="zh-CN"/>
        </w:rPr>
        <w:t>研发和生产。</w:t>
      </w:r>
    </w:p>
    <w:p>
      <w:pPr>
        <w:pStyle w:val="14"/>
        <w:keepNext w:val="0"/>
        <w:keepLines w:val="0"/>
        <w:pageBreakBefore w:val="0"/>
        <w:wordWrap/>
        <w:overflowPunct/>
        <w:topLinePunct w:val="0"/>
        <w:bidi w:val="0"/>
        <w:spacing w:line="360" w:lineRule="auto"/>
        <w:ind w:firstLineChars="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各参编单位及标准主要起草人分工见表1。</w:t>
      </w:r>
    </w:p>
    <w:p>
      <w:pPr>
        <w:keepNext w:val="0"/>
        <w:keepLines w:val="0"/>
        <w:pageBreakBefore w:val="0"/>
        <w:wordWrap/>
        <w:overflowPunct/>
        <w:topLinePunct w:val="0"/>
        <w:bidi w:val="0"/>
        <w:spacing w:line="360" w:lineRule="auto"/>
        <w:ind w:firstLine="480" w:firstLineChars="20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表1 参编单位及分工</w:t>
      </w:r>
    </w:p>
    <w:tbl>
      <w:tblPr>
        <w:tblStyle w:val="6"/>
        <w:tblW w:w="490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1"/>
        <w:gridCol w:w="1309"/>
        <w:gridCol w:w="3224"/>
        <w:gridCol w:w="3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exact"/>
          <w:jc w:val="center"/>
        </w:trPr>
        <w:tc>
          <w:tcPr>
            <w:tcW w:w="43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序号</w:t>
            </w:r>
          </w:p>
        </w:tc>
        <w:tc>
          <w:tcPr>
            <w:tcW w:w="78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主要起草人</w:t>
            </w:r>
          </w:p>
        </w:tc>
        <w:tc>
          <w:tcPr>
            <w:tcW w:w="192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参编单位</w:t>
            </w:r>
          </w:p>
        </w:tc>
        <w:tc>
          <w:tcPr>
            <w:tcW w:w="185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exact"/>
          <w:jc w:val="center"/>
        </w:trPr>
        <w:tc>
          <w:tcPr>
            <w:tcW w:w="43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color w:val="auto"/>
                <w:sz w:val="21"/>
                <w:szCs w:val="21"/>
                <w:highlight w:val="none"/>
              </w:rPr>
            </w:pPr>
            <w:bookmarkStart w:id="0" w:name="_Hlk131150342"/>
            <w:r>
              <w:rPr>
                <w:rFonts w:hint="eastAsia" w:asciiTheme="minorEastAsia" w:hAnsiTheme="minorEastAsia" w:eastAsiaTheme="minorEastAsia" w:cstheme="minorEastAsia"/>
                <w:color w:val="auto"/>
                <w:sz w:val="21"/>
                <w:szCs w:val="21"/>
                <w:highlight w:val="none"/>
              </w:rPr>
              <w:t>1</w:t>
            </w:r>
          </w:p>
        </w:tc>
        <w:tc>
          <w:tcPr>
            <w:tcW w:w="783"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default" w:asciiTheme="minorEastAsia" w:hAnsiTheme="minorEastAsia" w:eastAsiaTheme="minorEastAsia" w:cstheme="minorEastAsia"/>
                <w:b w:val="0"/>
                <w:bCs w:val="0"/>
                <w:sz w:val="21"/>
                <w:szCs w:val="21"/>
                <w:highlight w:val="none"/>
                <w:lang w:val="en-US" w:eastAsia="zh-CN"/>
              </w:rPr>
              <w:t>曲敬龙（组长）</w:t>
            </w:r>
          </w:p>
        </w:tc>
        <w:tc>
          <w:tcPr>
            <w:tcW w:w="1928"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heme="minorEastAsia" w:hAnsiTheme="minorEastAsia" w:eastAsiaTheme="minorEastAsia" w:cstheme="minorEastAsia"/>
                <w:b w:val="0"/>
                <w:bCs w:val="0"/>
                <w:sz w:val="21"/>
                <w:szCs w:val="21"/>
                <w:highlight w:val="none"/>
                <w:lang w:val="en-US" w:eastAsia="zh-CN"/>
              </w:rPr>
            </w:pPr>
            <w:r>
              <w:rPr>
                <w:rFonts w:hint="default" w:asciiTheme="minorEastAsia" w:hAnsiTheme="minorEastAsia" w:eastAsiaTheme="minorEastAsia" w:cstheme="minorEastAsia"/>
                <w:b w:val="0"/>
                <w:bCs w:val="0"/>
                <w:sz w:val="21"/>
                <w:szCs w:val="21"/>
                <w:highlight w:val="none"/>
                <w:lang w:val="en-US" w:eastAsia="zh-CN"/>
              </w:rPr>
              <w:t>北京钢研高纳科技股份有限公司</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default" w:asciiTheme="minorEastAsia" w:hAnsiTheme="minorEastAsia" w:eastAsiaTheme="minorEastAsia" w:cstheme="minorEastAsia"/>
                <w:b w:val="0"/>
                <w:bCs w:val="0"/>
                <w:sz w:val="21"/>
                <w:szCs w:val="21"/>
                <w:highlight w:val="none"/>
                <w:lang w:val="en-US" w:eastAsia="zh-CN"/>
              </w:rPr>
              <w:t>/四川钢研高纳锻造有限责任公司</w:t>
            </w:r>
          </w:p>
        </w:tc>
        <w:tc>
          <w:tcPr>
            <w:tcW w:w="185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负责调研、验证、标准起草全过程工作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437"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783"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eastAsia" w:asciiTheme="minorEastAsia" w:hAnsiTheme="minorEastAsia" w:eastAsiaTheme="minorEastAsia" w:cstheme="minorEastAsia"/>
                <w:b w:val="0"/>
                <w:bCs w:val="0"/>
                <w:sz w:val="21"/>
                <w:szCs w:val="21"/>
                <w:highlight w:val="none"/>
                <w:lang w:val="en-US" w:eastAsia="zh-CN"/>
              </w:rPr>
              <w:t>谢志鹏</w:t>
            </w:r>
          </w:p>
        </w:tc>
        <w:tc>
          <w:tcPr>
            <w:tcW w:w="1928"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eastAsia" w:asciiTheme="minorEastAsia" w:hAnsiTheme="minorEastAsia" w:eastAsiaTheme="minorEastAsia" w:cstheme="minorEastAsia"/>
                <w:b w:val="0"/>
                <w:bCs w:val="0"/>
                <w:sz w:val="21"/>
                <w:szCs w:val="21"/>
                <w:highlight w:val="none"/>
                <w:lang w:val="en-US" w:eastAsia="zh-CN"/>
              </w:rPr>
              <w:t>清华大学</w:t>
            </w:r>
          </w:p>
        </w:tc>
        <w:tc>
          <w:tcPr>
            <w:tcW w:w="1850"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eastAsia" w:asciiTheme="minorEastAsia" w:hAnsiTheme="minorEastAsia" w:eastAsiaTheme="minorEastAsia" w:cstheme="minorEastAsia"/>
                <w:b w:val="0"/>
                <w:bCs w:val="0"/>
                <w:sz w:val="21"/>
                <w:szCs w:val="21"/>
                <w:highlight w:val="none"/>
                <w:lang w:val="en-US" w:eastAsia="zh-CN"/>
              </w:rPr>
              <w:t>负责标准调研、验证工作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exact"/>
          <w:jc w:val="center"/>
        </w:trPr>
        <w:tc>
          <w:tcPr>
            <w:tcW w:w="437"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w:t>
            </w:r>
          </w:p>
        </w:tc>
        <w:tc>
          <w:tcPr>
            <w:tcW w:w="783"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default" w:asciiTheme="minorEastAsia" w:hAnsiTheme="minorEastAsia" w:eastAsiaTheme="minorEastAsia" w:cstheme="minorEastAsia"/>
                <w:b w:val="0"/>
                <w:bCs w:val="0"/>
                <w:sz w:val="21"/>
                <w:szCs w:val="21"/>
                <w:highlight w:val="none"/>
                <w:lang w:val="en-US" w:eastAsia="zh-CN"/>
              </w:rPr>
              <w:t>罗志强</w:t>
            </w:r>
          </w:p>
        </w:tc>
        <w:tc>
          <w:tcPr>
            <w:tcW w:w="1928"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heme="minorEastAsia" w:hAnsiTheme="minorEastAsia" w:eastAsiaTheme="minorEastAsia" w:cstheme="minorEastAsia"/>
                <w:b w:val="0"/>
                <w:bCs w:val="0"/>
                <w:sz w:val="21"/>
                <w:szCs w:val="21"/>
                <w:highlight w:val="none"/>
                <w:lang w:val="en-US" w:eastAsia="zh-CN"/>
              </w:rPr>
            </w:pPr>
            <w:r>
              <w:rPr>
                <w:rFonts w:hint="default" w:asciiTheme="minorEastAsia" w:hAnsiTheme="minorEastAsia" w:eastAsiaTheme="minorEastAsia" w:cstheme="minorEastAsia"/>
                <w:b w:val="0"/>
                <w:bCs w:val="0"/>
                <w:sz w:val="21"/>
                <w:szCs w:val="21"/>
                <w:highlight w:val="none"/>
                <w:lang w:val="en-US" w:eastAsia="zh-CN"/>
              </w:rPr>
              <w:t>北京钢研高纳科技股份有限公司</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default" w:asciiTheme="minorEastAsia" w:hAnsiTheme="minorEastAsia" w:eastAsiaTheme="minorEastAsia" w:cstheme="minorEastAsia"/>
                <w:b w:val="0"/>
                <w:bCs w:val="0"/>
                <w:sz w:val="21"/>
                <w:szCs w:val="21"/>
                <w:highlight w:val="none"/>
                <w:lang w:val="en-US" w:eastAsia="zh-CN"/>
              </w:rPr>
              <w:t>/四川钢研高纳锻造有限责任公司</w:t>
            </w:r>
          </w:p>
        </w:tc>
        <w:tc>
          <w:tcPr>
            <w:tcW w:w="1850"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eastAsia" w:asciiTheme="minorEastAsia" w:hAnsiTheme="minorEastAsia" w:eastAsiaTheme="minorEastAsia" w:cstheme="minorEastAsia"/>
                <w:b w:val="0"/>
                <w:bCs w:val="0"/>
                <w:sz w:val="21"/>
                <w:szCs w:val="21"/>
                <w:highlight w:val="none"/>
                <w:lang w:val="en-US" w:eastAsia="zh-CN"/>
              </w:rPr>
              <w:t>负责全过程的标准编制、审核、协调工作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exact"/>
          <w:jc w:val="center"/>
        </w:trPr>
        <w:tc>
          <w:tcPr>
            <w:tcW w:w="437"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eastAsiaTheme="minorEastAsia" w:cstheme="minorEastAsia"/>
                <w:color w:val="auto"/>
                <w:sz w:val="21"/>
                <w:szCs w:val="21"/>
                <w:highlight w:val="none"/>
                <w:lang w:val="en-US" w:eastAsia="zh-CN"/>
              </w:rPr>
              <w:t>4</w:t>
            </w:r>
          </w:p>
        </w:tc>
        <w:tc>
          <w:tcPr>
            <w:tcW w:w="783"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eastAsia" w:asciiTheme="minorEastAsia" w:hAnsiTheme="minorEastAsia" w:eastAsiaTheme="minorEastAsia" w:cstheme="minorEastAsia"/>
                <w:b w:val="0"/>
                <w:bCs w:val="0"/>
                <w:sz w:val="21"/>
                <w:szCs w:val="21"/>
                <w:highlight w:val="none"/>
                <w:lang w:val="en-US" w:eastAsia="zh-CN"/>
              </w:rPr>
              <w:t>贾建</w:t>
            </w:r>
          </w:p>
        </w:tc>
        <w:tc>
          <w:tcPr>
            <w:tcW w:w="1928"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default" w:asciiTheme="minorEastAsia" w:hAnsiTheme="minorEastAsia" w:eastAsiaTheme="minorEastAsia" w:cstheme="minorEastAsia"/>
                <w:b w:val="0"/>
                <w:bCs w:val="0"/>
                <w:sz w:val="21"/>
                <w:szCs w:val="21"/>
                <w:highlight w:val="none"/>
                <w:lang w:val="en-US" w:eastAsia="zh-CN"/>
              </w:rPr>
              <w:t>北京钢研高纳科技股份有限公司</w:t>
            </w:r>
          </w:p>
        </w:tc>
        <w:tc>
          <w:tcPr>
            <w:tcW w:w="1850"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eastAsia" w:asciiTheme="minorEastAsia" w:hAnsiTheme="minorEastAsia" w:eastAsiaTheme="minorEastAsia" w:cstheme="minorEastAsia"/>
                <w:b w:val="0"/>
                <w:bCs w:val="0"/>
                <w:sz w:val="21"/>
                <w:szCs w:val="21"/>
                <w:highlight w:val="none"/>
                <w:lang w:val="en-US" w:eastAsia="zh-CN"/>
              </w:rPr>
              <w:t>参与标准起草，提供相关验证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exact"/>
          <w:jc w:val="center"/>
        </w:trPr>
        <w:tc>
          <w:tcPr>
            <w:tcW w:w="437"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eastAsiaTheme="minorEastAsia" w:cstheme="minorEastAsia"/>
                <w:color w:val="auto"/>
                <w:sz w:val="21"/>
                <w:szCs w:val="21"/>
                <w:highlight w:val="none"/>
                <w:lang w:val="en-US" w:eastAsia="zh-CN"/>
              </w:rPr>
              <w:t>5</w:t>
            </w:r>
          </w:p>
        </w:tc>
        <w:tc>
          <w:tcPr>
            <w:tcW w:w="783"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eastAsia" w:asciiTheme="minorEastAsia" w:hAnsiTheme="minorEastAsia" w:eastAsiaTheme="minorEastAsia" w:cstheme="minorEastAsia"/>
                <w:b w:val="0"/>
                <w:bCs w:val="0"/>
                <w:sz w:val="21"/>
                <w:szCs w:val="21"/>
                <w:highlight w:val="none"/>
                <w:lang w:val="en-US" w:eastAsia="zh-CN"/>
              </w:rPr>
              <w:t>邹刚</w:t>
            </w:r>
          </w:p>
        </w:tc>
        <w:tc>
          <w:tcPr>
            <w:tcW w:w="1928"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eastAsia" w:asciiTheme="minorEastAsia" w:hAnsiTheme="minorEastAsia" w:eastAsiaTheme="minorEastAsia" w:cstheme="minorEastAsia"/>
                <w:b w:val="0"/>
                <w:bCs w:val="0"/>
                <w:sz w:val="21"/>
                <w:szCs w:val="21"/>
                <w:highlight w:val="none"/>
                <w:lang w:val="en-US" w:eastAsia="zh-CN"/>
              </w:rPr>
              <w:t>株洲万融新材科技有限公司</w:t>
            </w:r>
          </w:p>
        </w:tc>
        <w:tc>
          <w:tcPr>
            <w:tcW w:w="1850"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eastAsia" w:asciiTheme="minorEastAsia" w:hAnsiTheme="minorEastAsia" w:eastAsiaTheme="minorEastAsia" w:cstheme="minorEastAsia"/>
                <w:b w:val="0"/>
                <w:bCs w:val="0"/>
                <w:sz w:val="21"/>
                <w:szCs w:val="21"/>
                <w:highlight w:val="none"/>
                <w:lang w:val="en-US" w:eastAsia="zh-CN"/>
              </w:rPr>
              <w:t>参与标准起草，提供相关验证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exact"/>
          <w:jc w:val="center"/>
        </w:trPr>
        <w:tc>
          <w:tcPr>
            <w:tcW w:w="437"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eastAsiaTheme="minorEastAsia" w:cstheme="minorEastAsia"/>
                <w:color w:val="auto"/>
                <w:sz w:val="21"/>
                <w:szCs w:val="21"/>
                <w:highlight w:val="none"/>
                <w:lang w:val="en-US" w:eastAsia="zh-CN"/>
              </w:rPr>
              <w:t>6</w:t>
            </w:r>
          </w:p>
        </w:tc>
        <w:tc>
          <w:tcPr>
            <w:tcW w:w="783"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eastAsia" w:asciiTheme="minorEastAsia" w:hAnsiTheme="minorEastAsia" w:eastAsiaTheme="minorEastAsia" w:cstheme="minorEastAsia"/>
                <w:b w:val="0"/>
                <w:bCs w:val="0"/>
                <w:sz w:val="21"/>
                <w:szCs w:val="21"/>
                <w:highlight w:val="none"/>
                <w:lang w:val="en-US" w:eastAsia="zh-CN"/>
              </w:rPr>
              <w:t>盛建华</w:t>
            </w:r>
          </w:p>
        </w:tc>
        <w:tc>
          <w:tcPr>
            <w:tcW w:w="1928"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eastAsia" w:asciiTheme="minorEastAsia" w:hAnsiTheme="minorEastAsia" w:eastAsiaTheme="minorEastAsia" w:cstheme="minorEastAsia"/>
                <w:b w:val="0"/>
                <w:bCs w:val="0"/>
                <w:sz w:val="21"/>
                <w:szCs w:val="21"/>
                <w:highlight w:val="none"/>
                <w:lang w:val="en-US" w:eastAsia="zh-CN"/>
              </w:rPr>
              <w:t>株洲万融新材科技有限公司</w:t>
            </w:r>
          </w:p>
        </w:tc>
        <w:tc>
          <w:tcPr>
            <w:tcW w:w="1850"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eastAsia" w:asciiTheme="minorEastAsia" w:hAnsiTheme="minorEastAsia" w:eastAsiaTheme="minorEastAsia" w:cstheme="minorEastAsia"/>
                <w:b w:val="0"/>
                <w:bCs w:val="0"/>
                <w:sz w:val="21"/>
                <w:szCs w:val="21"/>
                <w:highlight w:val="none"/>
                <w:lang w:val="en-US" w:eastAsia="zh-CN"/>
              </w:rPr>
              <w:t>参与标准起草，提供相关验证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exact"/>
          <w:jc w:val="center"/>
        </w:trPr>
        <w:tc>
          <w:tcPr>
            <w:tcW w:w="437"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eastAsiaTheme="minorEastAsia" w:cstheme="minorEastAsia"/>
                <w:color w:val="auto"/>
                <w:sz w:val="21"/>
                <w:szCs w:val="21"/>
                <w:highlight w:val="none"/>
                <w:lang w:val="en-US" w:eastAsia="zh-CN"/>
              </w:rPr>
              <w:t>7</w:t>
            </w:r>
          </w:p>
        </w:tc>
        <w:tc>
          <w:tcPr>
            <w:tcW w:w="783"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eastAsia" w:asciiTheme="minorEastAsia" w:hAnsiTheme="minorEastAsia" w:eastAsiaTheme="minorEastAsia" w:cstheme="minorEastAsia"/>
                <w:b w:val="0"/>
                <w:bCs w:val="0"/>
                <w:sz w:val="21"/>
                <w:szCs w:val="21"/>
                <w:highlight w:val="none"/>
                <w:lang w:val="en-US" w:eastAsia="zh-CN"/>
              </w:rPr>
              <w:t>石英男</w:t>
            </w:r>
          </w:p>
        </w:tc>
        <w:tc>
          <w:tcPr>
            <w:tcW w:w="1928"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default" w:asciiTheme="minorEastAsia" w:hAnsiTheme="minorEastAsia" w:eastAsiaTheme="minorEastAsia" w:cstheme="minorEastAsia"/>
                <w:b w:val="0"/>
                <w:bCs w:val="0"/>
                <w:sz w:val="21"/>
                <w:szCs w:val="21"/>
                <w:highlight w:val="none"/>
                <w:lang w:val="en-US" w:eastAsia="zh-CN"/>
              </w:rPr>
              <w:t>北京钢研高纳科技股份有限公司</w:t>
            </w:r>
          </w:p>
        </w:tc>
        <w:tc>
          <w:tcPr>
            <w:tcW w:w="1850"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eastAsia" w:asciiTheme="minorEastAsia" w:hAnsiTheme="minorEastAsia" w:eastAsiaTheme="minorEastAsia" w:cstheme="minorEastAsia"/>
                <w:b w:val="0"/>
                <w:bCs w:val="0"/>
                <w:sz w:val="21"/>
                <w:szCs w:val="21"/>
                <w:highlight w:val="none"/>
                <w:lang w:val="en-US" w:eastAsia="zh-CN"/>
              </w:rPr>
              <w:t>参与标准起草，提供相关验证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exact"/>
          <w:jc w:val="center"/>
        </w:trPr>
        <w:tc>
          <w:tcPr>
            <w:tcW w:w="437"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eastAsiaTheme="minorEastAsia" w:cstheme="minorEastAsia"/>
                <w:color w:val="auto"/>
                <w:sz w:val="21"/>
                <w:szCs w:val="21"/>
                <w:highlight w:val="none"/>
                <w:lang w:val="en-US" w:eastAsia="zh-CN"/>
              </w:rPr>
              <w:t>8</w:t>
            </w:r>
          </w:p>
        </w:tc>
        <w:tc>
          <w:tcPr>
            <w:tcW w:w="783"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eastAsia" w:asciiTheme="minorEastAsia" w:hAnsiTheme="minorEastAsia" w:eastAsiaTheme="minorEastAsia" w:cstheme="minorEastAsia"/>
                <w:b w:val="0"/>
                <w:bCs w:val="0"/>
                <w:sz w:val="21"/>
                <w:szCs w:val="21"/>
                <w:highlight w:val="none"/>
                <w:lang w:val="en-US" w:eastAsia="zh-CN"/>
              </w:rPr>
              <w:t>陈竞炜</w:t>
            </w:r>
          </w:p>
        </w:tc>
        <w:tc>
          <w:tcPr>
            <w:tcW w:w="1928"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eastAsia" w:asciiTheme="minorEastAsia" w:hAnsiTheme="minorEastAsia" w:eastAsiaTheme="minorEastAsia" w:cstheme="minorEastAsia"/>
                <w:b w:val="0"/>
                <w:bCs w:val="0"/>
                <w:sz w:val="21"/>
                <w:szCs w:val="21"/>
                <w:highlight w:val="none"/>
                <w:lang w:val="en-US" w:eastAsia="zh-CN"/>
              </w:rPr>
              <w:t>中国航发湖南动力机械研究所</w:t>
            </w:r>
          </w:p>
        </w:tc>
        <w:tc>
          <w:tcPr>
            <w:tcW w:w="1850"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eastAsia" w:asciiTheme="minorEastAsia" w:hAnsiTheme="minorEastAsia" w:eastAsiaTheme="minorEastAsia" w:cstheme="minorEastAsia"/>
                <w:b w:val="0"/>
                <w:bCs w:val="0"/>
                <w:sz w:val="21"/>
                <w:szCs w:val="21"/>
                <w:highlight w:val="none"/>
                <w:lang w:val="en-US" w:eastAsia="zh-CN"/>
              </w:rPr>
              <w:t>参与标准起草，提供相关验证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exact"/>
          <w:jc w:val="center"/>
        </w:trPr>
        <w:tc>
          <w:tcPr>
            <w:tcW w:w="437"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eastAsiaTheme="minorEastAsia" w:cstheme="minorEastAsia"/>
                <w:color w:val="auto"/>
                <w:sz w:val="21"/>
                <w:szCs w:val="21"/>
                <w:highlight w:val="none"/>
                <w:lang w:val="en-US" w:eastAsia="zh-CN"/>
              </w:rPr>
              <w:t>9</w:t>
            </w:r>
          </w:p>
        </w:tc>
        <w:tc>
          <w:tcPr>
            <w:tcW w:w="783"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eastAsia" w:asciiTheme="minorEastAsia" w:hAnsiTheme="minorEastAsia" w:eastAsiaTheme="minorEastAsia" w:cstheme="minorEastAsia"/>
                <w:b w:val="0"/>
                <w:bCs w:val="0"/>
                <w:sz w:val="21"/>
                <w:szCs w:val="21"/>
                <w:highlight w:val="none"/>
                <w:lang w:val="en-US" w:eastAsia="zh-CN"/>
              </w:rPr>
              <w:t>范衍</w:t>
            </w:r>
          </w:p>
        </w:tc>
        <w:tc>
          <w:tcPr>
            <w:tcW w:w="1928"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eastAsia" w:asciiTheme="minorEastAsia" w:hAnsiTheme="minorEastAsia" w:eastAsiaTheme="minorEastAsia" w:cstheme="minorEastAsia"/>
                <w:b w:val="0"/>
                <w:bCs w:val="0"/>
                <w:sz w:val="21"/>
                <w:szCs w:val="21"/>
                <w:highlight w:val="none"/>
                <w:lang w:val="en-US" w:eastAsia="zh-CN"/>
              </w:rPr>
              <w:t>中国航发湖南动力机械研究所</w:t>
            </w:r>
          </w:p>
        </w:tc>
        <w:tc>
          <w:tcPr>
            <w:tcW w:w="1850"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eastAsia" w:asciiTheme="minorEastAsia" w:hAnsiTheme="minorEastAsia" w:eastAsiaTheme="minorEastAsia" w:cstheme="minorEastAsia"/>
                <w:b w:val="0"/>
                <w:bCs w:val="0"/>
                <w:sz w:val="21"/>
                <w:szCs w:val="21"/>
                <w:highlight w:val="none"/>
                <w:lang w:val="en-US" w:eastAsia="zh-CN"/>
              </w:rPr>
              <w:t>参与标准起草，提供相关验证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exact"/>
          <w:jc w:val="center"/>
        </w:trPr>
        <w:tc>
          <w:tcPr>
            <w:tcW w:w="437"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10</w:t>
            </w:r>
          </w:p>
        </w:tc>
        <w:tc>
          <w:tcPr>
            <w:tcW w:w="783"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default" w:asciiTheme="minorEastAsia" w:hAnsiTheme="minorEastAsia" w:eastAsiaTheme="minorEastAsia" w:cstheme="minorEastAsia"/>
                <w:b w:val="0"/>
                <w:bCs w:val="0"/>
                <w:sz w:val="21"/>
                <w:szCs w:val="21"/>
                <w:highlight w:val="none"/>
                <w:lang w:val="en-US" w:eastAsia="zh-CN"/>
              </w:rPr>
              <w:t>盛利文</w:t>
            </w:r>
          </w:p>
        </w:tc>
        <w:tc>
          <w:tcPr>
            <w:tcW w:w="1928"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eastAsia" w:asciiTheme="minorEastAsia" w:hAnsiTheme="minorEastAsia" w:eastAsiaTheme="minorEastAsia" w:cstheme="minorEastAsia"/>
                <w:b w:val="0"/>
                <w:bCs w:val="0"/>
                <w:sz w:val="21"/>
                <w:szCs w:val="21"/>
                <w:highlight w:val="none"/>
                <w:lang w:val="en-US" w:eastAsia="zh-CN"/>
              </w:rPr>
              <w:t>株洲新融利科技有限公司</w:t>
            </w:r>
          </w:p>
        </w:tc>
        <w:tc>
          <w:tcPr>
            <w:tcW w:w="1850"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eastAsia" w:asciiTheme="minorEastAsia" w:hAnsiTheme="minorEastAsia" w:eastAsiaTheme="minorEastAsia" w:cstheme="minorEastAsia"/>
                <w:b w:val="0"/>
                <w:bCs w:val="0"/>
                <w:sz w:val="21"/>
                <w:szCs w:val="21"/>
                <w:highlight w:val="none"/>
                <w:lang w:val="en-US" w:eastAsia="zh-CN"/>
              </w:rPr>
              <w:t>参与标准起草，提供相关验证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exact"/>
          <w:jc w:val="center"/>
        </w:trPr>
        <w:tc>
          <w:tcPr>
            <w:tcW w:w="437"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11</w:t>
            </w:r>
          </w:p>
        </w:tc>
        <w:tc>
          <w:tcPr>
            <w:tcW w:w="783"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default" w:asciiTheme="minorEastAsia" w:hAnsiTheme="minorEastAsia" w:eastAsiaTheme="minorEastAsia" w:cstheme="minorEastAsia"/>
                <w:b w:val="0"/>
                <w:bCs w:val="0"/>
                <w:sz w:val="21"/>
                <w:szCs w:val="21"/>
                <w:highlight w:val="none"/>
                <w:lang w:val="en-US" w:eastAsia="zh-CN"/>
              </w:rPr>
              <w:t>戴金宁</w:t>
            </w:r>
          </w:p>
        </w:tc>
        <w:tc>
          <w:tcPr>
            <w:tcW w:w="1928"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eastAsia" w:asciiTheme="minorEastAsia" w:hAnsiTheme="minorEastAsia" w:eastAsiaTheme="minorEastAsia" w:cstheme="minorEastAsia"/>
                <w:b w:val="0"/>
                <w:bCs w:val="0"/>
                <w:sz w:val="21"/>
                <w:szCs w:val="21"/>
                <w:highlight w:val="none"/>
                <w:lang w:val="en-US" w:eastAsia="zh-CN"/>
              </w:rPr>
              <w:t>株洲新融利科技有限公司</w:t>
            </w:r>
          </w:p>
        </w:tc>
        <w:tc>
          <w:tcPr>
            <w:tcW w:w="1850"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eastAsia" w:asciiTheme="minorEastAsia" w:hAnsiTheme="minorEastAsia" w:eastAsiaTheme="minorEastAsia" w:cstheme="minorEastAsia"/>
                <w:b w:val="0"/>
                <w:bCs w:val="0"/>
                <w:sz w:val="21"/>
                <w:szCs w:val="21"/>
                <w:highlight w:val="none"/>
                <w:lang w:val="en-US" w:eastAsia="zh-CN"/>
              </w:rPr>
              <w:t>参与标准起草，提供相关验证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exact"/>
          <w:jc w:val="center"/>
        </w:trPr>
        <w:tc>
          <w:tcPr>
            <w:tcW w:w="437"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12</w:t>
            </w:r>
          </w:p>
        </w:tc>
        <w:tc>
          <w:tcPr>
            <w:tcW w:w="783"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default" w:asciiTheme="minorEastAsia" w:hAnsiTheme="minorEastAsia" w:eastAsiaTheme="minorEastAsia" w:cstheme="minorEastAsia"/>
                <w:b w:val="0"/>
                <w:bCs w:val="0"/>
                <w:sz w:val="21"/>
                <w:szCs w:val="21"/>
                <w:highlight w:val="none"/>
                <w:lang w:val="en-US" w:eastAsia="zh-CN"/>
              </w:rPr>
              <w:t>李鹏飞</w:t>
            </w:r>
          </w:p>
        </w:tc>
        <w:tc>
          <w:tcPr>
            <w:tcW w:w="1928"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eastAsia" w:asciiTheme="minorEastAsia" w:hAnsiTheme="minorEastAsia" w:eastAsiaTheme="minorEastAsia" w:cstheme="minorEastAsia"/>
                <w:b w:val="0"/>
                <w:bCs w:val="0"/>
                <w:sz w:val="21"/>
                <w:szCs w:val="21"/>
                <w:highlight w:val="none"/>
                <w:lang w:val="en-US" w:eastAsia="zh-CN"/>
              </w:rPr>
              <w:t>湖南工业大学</w:t>
            </w:r>
          </w:p>
        </w:tc>
        <w:tc>
          <w:tcPr>
            <w:tcW w:w="1850"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eastAsia" w:asciiTheme="minorEastAsia" w:hAnsiTheme="minorEastAsia" w:eastAsiaTheme="minorEastAsia" w:cstheme="minorEastAsia"/>
                <w:b w:val="0"/>
                <w:bCs w:val="0"/>
                <w:sz w:val="21"/>
                <w:szCs w:val="21"/>
                <w:highlight w:val="none"/>
                <w:lang w:val="en-US" w:eastAsia="zh-CN"/>
              </w:rPr>
              <w:t>参与标准起草，提供相关验证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exact"/>
          <w:jc w:val="center"/>
        </w:trPr>
        <w:tc>
          <w:tcPr>
            <w:tcW w:w="437"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13</w:t>
            </w:r>
            <w:bookmarkStart w:id="1" w:name="_GoBack"/>
            <w:bookmarkEnd w:id="1"/>
          </w:p>
        </w:tc>
        <w:tc>
          <w:tcPr>
            <w:tcW w:w="783"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default" w:asciiTheme="minorEastAsia" w:hAnsiTheme="minorEastAsia" w:eastAsiaTheme="minorEastAsia" w:cstheme="minorEastAsia"/>
                <w:b w:val="0"/>
                <w:bCs w:val="0"/>
                <w:sz w:val="21"/>
                <w:szCs w:val="21"/>
                <w:highlight w:val="none"/>
                <w:lang w:val="en-US" w:eastAsia="zh-CN"/>
              </w:rPr>
              <w:t>张筱萌</w:t>
            </w:r>
          </w:p>
        </w:tc>
        <w:tc>
          <w:tcPr>
            <w:tcW w:w="1928"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heme="minorEastAsia" w:hAnsiTheme="minorEastAsia" w:eastAsiaTheme="minorEastAsia" w:cstheme="minorEastAsia"/>
                <w:b w:val="0"/>
                <w:bCs w:val="0"/>
                <w:sz w:val="21"/>
                <w:szCs w:val="21"/>
                <w:highlight w:val="none"/>
                <w:lang w:val="en-US" w:eastAsia="zh-CN"/>
              </w:rPr>
            </w:pPr>
            <w:r>
              <w:rPr>
                <w:rFonts w:hint="default" w:asciiTheme="minorEastAsia" w:hAnsiTheme="minorEastAsia" w:eastAsiaTheme="minorEastAsia" w:cstheme="minorEastAsia"/>
                <w:b w:val="0"/>
                <w:bCs w:val="0"/>
                <w:sz w:val="21"/>
                <w:szCs w:val="21"/>
                <w:highlight w:val="none"/>
                <w:lang w:val="en-US" w:eastAsia="zh-CN"/>
              </w:rPr>
              <w:t>北京钢研高纳科技股份有限公司</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default" w:asciiTheme="minorEastAsia" w:hAnsiTheme="minorEastAsia" w:eastAsiaTheme="minorEastAsia" w:cstheme="minorEastAsia"/>
                <w:b w:val="0"/>
                <w:bCs w:val="0"/>
                <w:sz w:val="21"/>
                <w:szCs w:val="21"/>
                <w:highlight w:val="none"/>
                <w:lang w:val="en-US" w:eastAsia="zh-CN"/>
              </w:rPr>
              <w:t>/四川钢研高纳锻造有限责任公司</w:t>
            </w:r>
          </w:p>
        </w:tc>
        <w:tc>
          <w:tcPr>
            <w:tcW w:w="1850"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val="0"/>
                <w:bCs w:val="0"/>
                <w:sz w:val="21"/>
                <w:szCs w:val="21"/>
                <w:highlight w:val="none"/>
                <w:lang w:val="en-US" w:eastAsia="zh-CN"/>
              </w:rPr>
            </w:pPr>
            <w:r>
              <w:rPr>
                <w:rFonts w:hint="eastAsia" w:asciiTheme="minorEastAsia" w:hAnsiTheme="minorEastAsia" w:eastAsiaTheme="minorEastAsia" w:cstheme="minorEastAsia"/>
                <w:b w:val="0"/>
                <w:bCs w:val="0"/>
                <w:sz w:val="21"/>
                <w:szCs w:val="21"/>
                <w:highlight w:val="none"/>
                <w:lang w:val="en-US" w:eastAsia="zh-CN"/>
              </w:rPr>
              <w:t>参与标准起草，提供相关验证</w:t>
            </w:r>
          </w:p>
        </w:tc>
      </w:tr>
      <w:bookmarkEnd w:id="0"/>
    </w:tbl>
    <w:p>
      <w:pPr>
        <w:pStyle w:val="14"/>
        <w:keepNext w:val="0"/>
        <w:keepLines w:val="0"/>
        <w:pageBreakBefore w:val="0"/>
        <w:wordWrap/>
        <w:overflowPunct/>
        <w:topLinePunct w:val="0"/>
        <w:bidi w:val="0"/>
        <w:spacing w:line="360" w:lineRule="auto"/>
        <w:rPr>
          <w:rFonts w:hint="default" w:ascii="Times New Roman" w:hAnsi="Times New Roman" w:cs="Times New Roman"/>
          <w:color w:val="auto"/>
          <w:sz w:val="24"/>
          <w:szCs w:val="24"/>
          <w:highlight w:val="none"/>
          <w:lang w:val="en-US" w:eastAsia="zh-CN"/>
        </w:rPr>
      </w:pPr>
    </w:p>
    <w:p>
      <w:pPr>
        <w:pStyle w:val="14"/>
        <w:keepNext w:val="0"/>
        <w:keepLines w:val="0"/>
        <w:pageBreakBefore w:val="0"/>
        <w:numPr>
          <w:ilvl w:val="0"/>
          <w:numId w:val="0"/>
        </w:numPr>
        <w:wordWrap/>
        <w:overflowPunct/>
        <w:topLinePunct w:val="0"/>
        <w:bidi w:val="0"/>
        <w:spacing w:line="360" w:lineRule="auto"/>
        <w:ind w:firstLine="482" w:firstLineChars="200"/>
        <w:rPr>
          <w:rFonts w:hint="default" w:ascii="Times New Roman" w:hAnsi="Times New Roman" w:cs="Times New Roman"/>
          <w:b/>
          <w:bCs/>
          <w:color w:val="auto"/>
          <w:sz w:val="24"/>
          <w:szCs w:val="24"/>
          <w:highlight w:val="none"/>
        </w:rPr>
      </w:pPr>
      <w:r>
        <w:rPr>
          <w:rFonts w:hint="eastAsia" w:ascii="Times New Roman" w:hAnsi="Times New Roman" w:cs="Times New Roman"/>
          <w:b/>
          <w:bCs/>
          <w:color w:val="auto"/>
          <w:sz w:val="24"/>
          <w:szCs w:val="24"/>
          <w:highlight w:val="none"/>
          <w:lang w:val="en-US" w:eastAsia="zh-CN"/>
        </w:rPr>
        <w:t xml:space="preserve">1.3 </w:t>
      </w:r>
      <w:r>
        <w:rPr>
          <w:rFonts w:hint="default" w:ascii="Times New Roman" w:hAnsi="Times New Roman" w:cs="Times New Roman"/>
          <w:b/>
          <w:bCs/>
          <w:color w:val="auto"/>
          <w:sz w:val="24"/>
          <w:szCs w:val="24"/>
          <w:highlight w:val="none"/>
        </w:rPr>
        <w:t>制修订标准的主要工作过程；</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sz w:val="24"/>
          <w:szCs w:val="24"/>
          <w:highlight w:val="none"/>
        </w:rPr>
      </w:pPr>
      <w:r>
        <w:rPr>
          <w:rFonts w:hint="eastAsia" w:ascii="Times New Roman" w:hAnsi="Times New Roman" w:eastAsia="宋体" w:cs="Times New Roman"/>
          <w:b/>
          <w:bCs/>
          <w:color w:val="auto"/>
          <w:sz w:val="24"/>
          <w:szCs w:val="24"/>
          <w:highlight w:val="none"/>
          <w:lang w:val="en-US" w:eastAsia="zh-CN"/>
        </w:rPr>
        <w:t>1.</w:t>
      </w:r>
      <w:r>
        <w:rPr>
          <w:rFonts w:hint="default" w:ascii="Times New Roman" w:hAnsi="Times New Roman" w:eastAsia="宋体" w:cs="Times New Roman"/>
          <w:b/>
          <w:bCs/>
          <w:color w:val="auto"/>
          <w:sz w:val="24"/>
          <w:szCs w:val="24"/>
          <w:highlight w:val="none"/>
          <w:lang w:val="en-US" w:eastAsia="zh-CN"/>
        </w:rPr>
        <w:t>3.1</w:t>
      </w:r>
      <w:r>
        <w:rPr>
          <w:rFonts w:hint="default" w:ascii="Times New Roman" w:hAnsi="Times New Roman" w:eastAsia="宋体" w:cs="Times New Roman"/>
          <w:b/>
          <w:bCs/>
          <w:color w:val="auto"/>
          <w:sz w:val="24"/>
          <w:szCs w:val="24"/>
          <w:highlight w:val="none"/>
        </w:rPr>
        <w:t xml:space="preserve"> 起草阶段</w:t>
      </w:r>
    </w:p>
    <w:p>
      <w:pPr>
        <w:pStyle w:val="2"/>
        <w:keepNext w:val="0"/>
        <w:keepLines w:val="0"/>
        <w:pageBreakBefore w:val="0"/>
        <w:wordWrap/>
        <w:overflowPunct/>
        <w:topLinePunct w:val="0"/>
        <w:bidi w:val="0"/>
        <w:spacing w:line="360" w:lineRule="auto"/>
        <w:ind w:firstLine="480" w:firstLineChars="200"/>
        <w:rPr>
          <w:rFonts w:hint="default" w:ascii="Times New Roman" w:hAnsi="Times New Roman" w:eastAsia="宋体" w:cs="Times New Roman"/>
          <w:b w:val="0"/>
          <w:bCs w:val="0"/>
          <w:color w:val="auto"/>
          <w:kern w:val="2"/>
          <w:sz w:val="24"/>
          <w:szCs w:val="24"/>
          <w:highlight w:val="none"/>
        </w:rPr>
      </w:pPr>
      <w:r>
        <w:rPr>
          <w:rFonts w:hint="default" w:ascii="Times New Roman" w:hAnsi="Times New Roman" w:eastAsia="宋体" w:cs="Times New Roman"/>
          <w:b w:val="0"/>
          <w:bCs w:val="0"/>
          <w:color w:val="auto"/>
          <w:kern w:val="2"/>
          <w:sz w:val="24"/>
          <w:szCs w:val="24"/>
          <w:highlight w:val="none"/>
        </w:rPr>
        <w:t>根据《</w:t>
      </w:r>
      <w:r>
        <w:rPr>
          <w:rFonts w:hint="default" w:ascii="Times New Roman" w:hAnsi="Times New Roman" w:eastAsia="宋体" w:cs="Times New Roman"/>
          <w:b w:val="0"/>
          <w:bCs w:val="0"/>
          <w:color w:val="auto"/>
          <w:kern w:val="2"/>
          <w:sz w:val="24"/>
          <w:szCs w:val="24"/>
          <w:highlight w:val="none"/>
          <w:lang w:val="en-US" w:eastAsia="zh-CN"/>
        </w:rPr>
        <w:t>XX</w:t>
      </w:r>
      <w:r>
        <w:rPr>
          <w:rFonts w:hint="default" w:ascii="Times New Roman" w:hAnsi="Times New Roman" w:eastAsia="宋体" w:cs="Times New Roman"/>
          <w:b w:val="0"/>
          <w:bCs w:val="0"/>
          <w:color w:val="auto"/>
          <w:kern w:val="2"/>
          <w:sz w:val="24"/>
          <w:szCs w:val="24"/>
          <w:highlight w:val="none"/>
        </w:rPr>
        <w:t>计划的通知》（</w:t>
      </w:r>
      <w:r>
        <w:rPr>
          <w:rFonts w:hint="default" w:ascii="Times New Roman" w:hAnsi="Times New Roman" w:eastAsia="宋体" w:cs="Times New Roman"/>
          <w:b w:val="0"/>
          <w:bCs w:val="0"/>
          <w:color w:val="auto"/>
          <w:kern w:val="2"/>
          <w:sz w:val="24"/>
          <w:szCs w:val="24"/>
          <w:highlight w:val="none"/>
          <w:lang w:val="en-US" w:eastAsia="zh-CN"/>
        </w:rPr>
        <w:t>XX</w:t>
      </w:r>
      <w:r>
        <w:rPr>
          <w:rFonts w:hint="default" w:ascii="Times New Roman" w:hAnsi="Times New Roman" w:eastAsia="宋体" w:cs="Times New Roman"/>
          <w:b w:val="0"/>
          <w:bCs w:val="0"/>
          <w:color w:val="auto"/>
          <w:kern w:val="2"/>
          <w:sz w:val="24"/>
          <w:szCs w:val="24"/>
          <w:highlight w:val="none"/>
        </w:rPr>
        <w:t>发[202</w:t>
      </w:r>
      <w:r>
        <w:rPr>
          <w:rFonts w:hint="default" w:ascii="Times New Roman" w:hAnsi="Times New Roman" w:eastAsia="宋体" w:cs="Times New Roman"/>
          <w:b w:val="0"/>
          <w:bCs w:val="0"/>
          <w:color w:val="auto"/>
          <w:kern w:val="2"/>
          <w:sz w:val="24"/>
          <w:szCs w:val="24"/>
          <w:highlight w:val="none"/>
          <w:lang w:val="en-US" w:eastAsia="zh-CN"/>
        </w:rPr>
        <w:t>4</w:t>
      </w:r>
      <w:r>
        <w:rPr>
          <w:rFonts w:hint="default" w:ascii="Times New Roman" w:hAnsi="Times New Roman" w:eastAsia="宋体" w:cs="Times New Roman"/>
          <w:b w:val="0"/>
          <w:bCs w:val="0"/>
          <w:color w:val="auto"/>
          <w:kern w:val="2"/>
          <w:sz w:val="24"/>
          <w:szCs w:val="24"/>
          <w:highlight w:val="none"/>
        </w:rPr>
        <w:t>]</w:t>
      </w:r>
      <w:r>
        <w:rPr>
          <w:rFonts w:hint="default" w:ascii="Times New Roman" w:hAnsi="Times New Roman" w:eastAsia="宋体" w:cs="Times New Roman"/>
          <w:b w:val="0"/>
          <w:bCs w:val="0"/>
          <w:color w:val="auto"/>
          <w:kern w:val="2"/>
          <w:sz w:val="24"/>
          <w:szCs w:val="24"/>
          <w:highlight w:val="none"/>
          <w:lang w:val="en-US" w:eastAsia="zh-CN"/>
        </w:rPr>
        <w:t>X</w:t>
      </w:r>
      <w:r>
        <w:rPr>
          <w:rFonts w:hint="default" w:ascii="Times New Roman" w:hAnsi="Times New Roman" w:eastAsia="宋体" w:cs="Times New Roman"/>
          <w:b w:val="0"/>
          <w:bCs w:val="0"/>
          <w:color w:val="auto"/>
          <w:kern w:val="2"/>
          <w:sz w:val="24"/>
          <w:szCs w:val="24"/>
          <w:highlight w:val="none"/>
        </w:rPr>
        <w:t>号）文的计划要求，本标准于202</w:t>
      </w:r>
      <w:r>
        <w:rPr>
          <w:rFonts w:hint="default" w:ascii="Times New Roman" w:hAnsi="Times New Roman" w:eastAsia="宋体" w:cs="Times New Roman"/>
          <w:b w:val="0"/>
          <w:bCs w:val="0"/>
          <w:color w:val="auto"/>
          <w:kern w:val="2"/>
          <w:sz w:val="24"/>
          <w:szCs w:val="24"/>
          <w:highlight w:val="none"/>
          <w:lang w:val="en-US" w:eastAsia="zh-CN"/>
        </w:rPr>
        <w:t>4</w:t>
      </w:r>
      <w:r>
        <w:rPr>
          <w:rFonts w:hint="default" w:ascii="Times New Roman" w:hAnsi="Times New Roman" w:eastAsia="宋体" w:cs="Times New Roman"/>
          <w:b w:val="0"/>
          <w:bCs w:val="0"/>
          <w:color w:val="auto"/>
          <w:kern w:val="2"/>
          <w:sz w:val="24"/>
          <w:szCs w:val="24"/>
          <w:highlight w:val="none"/>
        </w:rPr>
        <w:t>年</w:t>
      </w:r>
      <w:r>
        <w:rPr>
          <w:rFonts w:hint="default" w:ascii="Times New Roman" w:hAnsi="Times New Roman" w:eastAsia="宋体" w:cs="Times New Roman"/>
          <w:b w:val="0"/>
          <w:bCs w:val="0"/>
          <w:color w:val="auto"/>
          <w:kern w:val="2"/>
          <w:sz w:val="24"/>
          <w:szCs w:val="24"/>
          <w:highlight w:val="none"/>
          <w:lang w:val="en-US" w:eastAsia="zh-CN"/>
        </w:rPr>
        <w:t>6</w:t>
      </w:r>
      <w:r>
        <w:rPr>
          <w:rFonts w:hint="default" w:ascii="Times New Roman" w:hAnsi="Times New Roman" w:eastAsia="宋体" w:cs="Times New Roman"/>
          <w:b w:val="0"/>
          <w:bCs w:val="0"/>
          <w:color w:val="auto"/>
          <w:kern w:val="2"/>
          <w:sz w:val="24"/>
          <w:szCs w:val="24"/>
          <w:highlight w:val="none"/>
        </w:rPr>
        <w:t>月</w:t>
      </w:r>
      <w:r>
        <w:rPr>
          <w:rFonts w:hint="default" w:ascii="Times New Roman" w:hAnsi="Times New Roman" w:eastAsia="宋体" w:cs="Times New Roman"/>
          <w:b w:val="0"/>
          <w:bCs w:val="0"/>
          <w:color w:val="auto"/>
          <w:kern w:val="2"/>
          <w:sz w:val="24"/>
          <w:szCs w:val="24"/>
          <w:highlight w:val="none"/>
          <w:lang w:val="en-US" w:eastAsia="zh-CN"/>
        </w:rPr>
        <w:t>X</w:t>
      </w:r>
      <w:r>
        <w:rPr>
          <w:rFonts w:hint="default" w:ascii="Times New Roman" w:hAnsi="Times New Roman" w:eastAsia="宋体" w:cs="Times New Roman"/>
          <w:b w:val="0"/>
          <w:bCs w:val="0"/>
          <w:color w:val="auto"/>
          <w:kern w:val="2"/>
          <w:sz w:val="24"/>
          <w:szCs w:val="24"/>
          <w:highlight w:val="none"/>
        </w:rPr>
        <w:t>日在</w:t>
      </w:r>
      <w:r>
        <w:rPr>
          <w:rFonts w:hint="default" w:ascii="Times New Roman" w:hAnsi="Times New Roman" w:eastAsia="宋体" w:cs="Times New Roman"/>
          <w:b w:val="0"/>
          <w:bCs w:val="0"/>
          <w:color w:val="auto"/>
          <w:kern w:val="2"/>
          <w:sz w:val="24"/>
          <w:szCs w:val="24"/>
          <w:highlight w:val="none"/>
          <w:lang w:val="en-US" w:eastAsia="zh-CN"/>
        </w:rPr>
        <w:t>北京</w:t>
      </w:r>
      <w:r>
        <w:rPr>
          <w:rFonts w:hint="default" w:ascii="Times New Roman" w:hAnsi="Times New Roman" w:eastAsia="宋体" w:cs="Times New Roman"/>
          <w:b w:val="0"/>
          <w:bCs w:val="0"/>
          <w:color w:val="auto"/>
          <w:kern w:val="2"/>
          <w:sz w:val="24"/>
          <w:szCs w:val="24"/>
          <w:highlight w:val="none"/>
        </w:rPr>
        <w:t>市进行了任务落实，</w:t>
      </w:r>
      <w:r>
        <w:rPr>
          <w:rFonts w:hint="default" w:ascii="Times New Roman" w:hAnsi="Times New Roman" w:eastAsia="宋体" w:cs="Times New Roman"/>
          <w:b w:val="0"/>
          <w:bCs w:val="0"/>
          <w:color w:val="auto"/>
          <w:kern w:val="2"/>
          <w:sz w:val="24"/>
          <w:szCs w:val="24"/>
          <w:highlight w:val="none"/>
          <w:lang w:val="en-US" w:eastAsia="zh-CN"/>
        </w:rPr>
        <w:t>北京钢研高纳</w:t>
      </w:r>
      <w:r>
        <w:rPr>
          <w:rFonts w:hint="default" w:ascii="Times New Roman" w:hAnsi="Times New Roman" w:eastAsia="宋体" w:cs="Times New Roman"/>
          <w:b w:val="0"/>
          <w:bCs w:val="0"/>
          <w:color w:val="auto"/>
          <w:kern w:val="2"/>
          <w:sz w:val="24"/>
          <w:szCs w:val="24"/>
          <w:highlight w:val="none"/>
        </w:rPr>
        <w:t>科技股份有限公司立即成立了标准编制工作组，对目标任务进行分解，明确成员的任务要求，制定工作计划和进度安排。项目运行以来，项目组积极收集国内外</w:t>
      </w:r>
      <w:r>
        <w:rPr>
          <w:rFonts w:hint="eastAsia" w:cs="Times New Roman"/>
          <w:b w:val="0"/>
          <w:bCs w:val="0"/>
          <w:color w:val="auto"/>
          <w:kern w:val="2"/>
          <w:sz w:val="24"/>
          <w:szCs w:val="24"/>
          <w:highlight w:val="none"/>
          <w:lang w:val="en-US" w:eastAsia="zh-CN"/>
        </w:rPr>
        <w:t>振荡热压真空烧结炉</w:t>
      </w:r>
      <w:r>
        <w:rPr>
          <w:rFonts w:hint="default" w:ascii="Times New Roman" w:hAnsi="Times New Roman" w:eastAsia="宋体" w:cs="Times New Roman"/>
          <w:b w:val="0"/>
          <w:bCs w:val="0"/>
          <w:color w:val="auto"/>
          <w:kern w:val="2"/>
          <w:sz w:val="24"/>
          <w:szCs w:val="24"/>
          <w:highlight w:val="none"/>
        </w:rPr>
        <w:t>的生产及应用信息，收集</w:t>
      </w:r>
      <w:r>
        <w:rPr>
          <w:rFonts w:hint="eastAsia" w:cs="Times New Roman"/>
          <w:b w:val="0"/>
          <w:bCs w:val="0"/>
          <w:color w:val="auto"/>
          <w:kern w:val="2"/>
          <w:sz w:val="24"/>
          <w:szCs w:val="24"/>
          <w:highlight w:val="none"/>
          <w:lang w:val="en-US" w:eastAsia="zh-CN"/>
        </w:rPr>
        <w:t>振荡热压真空烧结炉</w:t>
      </w:r>
      <w:r>
        <w:rPr>
          <w:rFonts w:hint="default" w:ascii="Times New Roman" w:hAnsi="Times New Roman" w:eastAsia="宋体" w:cs="Times New Roman"/>
          <w:b w:val="0"/>
          <w:bCs w:val="0"/>
          <w:color w:val="auto"/>
          <w:kern w:val="2"/>
          <w:sz w:val="24"/>
          <w:szCs w:val="24"/>
          <w:highlight w:val="none"/>
        </w:rPr>
        <w:t>的生产、</w:t>
      </w:r>
      <w:r>
        <w:rPr>
          <w:rFonts w:hint="eastAsia" w:cs="Times New Roman"/>
          <w:b w:val="0"/>
          <w:bCs w:val="0"/>
          <w:color w:val="auto"/>
          <w:kern w:val="2"/>
          <w:sz w:val="24"/>
          <w:szCs w:val="24"/>
          <w:highlight w:val="none"/>
          <w:lang w:val="en-US" w:eastAsia="zh-CN"/>
        </w:rPr>
        <w:t>计量</w:t>
      </w:r>
      <w:r>
        <w:rPr>
          <w:rFonts w:hint="default" w:ascii="Times New Roman" w:hAnsi="Times New Roman" w:eastAsia="宋体" w:cs="Times New Roman"/>
          <w:b w:val="0"/>
          <w:bCs w:val="0"/>
          <w:color w:val="auto"/>
          <w:kern w:val="2"/>
          <w:sz w:val="24"/>
          <w:szCs w:val="24"/>
          <w:highlight w:val="none"/>
        </w:rPr>
        <w:t>数据，调研国内外</w:t>
      </w:r>
      <w:r>
        <w:rPr>
          <w:rFonts w:hint="eastAsia" w:cs="Times New Roman"/>
          <w:b w:val="0"/>
          <w:bCs w:val="0"/>
          <w:color w:val="auto"/>
          <w:kern w:val="2"/>
          <w:sz w:val="24"/>
          <w:szCs w:val="24"/>
          <w:highlight w:val="none"/>
          <w:lang w:val="en-US" w:eastAsia="zh-CN"/>
        </w:rPr>
        <w:t>振荡热压真空烧结炉</w:t>
      </w:r>
      <w:r>
        <w:rPr>
          <w:rFonts w:hint="default" w:ascii="Times New Roman" w:hAnsi="Times New Roman" w:eastAsia="宋体" w:cs="Times New Roman"/>
          <w:b w:val="0"/>
          <w:bCs w:val="0"/>
          <w:color w:val="auto"/>
          <w:kern w:val="2"/>
          <w:sz w:val="24"/>
          <w:szCs w:val="24"/>
          <w:highlight w:val="none"/>
        </w:rPr>
        <w:t>的科研单位、生产企业的基本情况，并对各类信息进行分析汇总，于202</w:t>
      </w:r>
      <w:r>
        <w:rPr>
          <w:rFonts w:hint="default" w:ascii="Times New Roman" w:hAnsi="Times New Roman" w:eastAsia="宋体" w:cs="Times New Roman"/>
          <w:b w:val="0"/>
          <w:bCs w:val="0"/>
          <w:color w:val="auto"/>
          <w:kern w:val="2"/>
          <w:sz w:val="24"/>
          <w:szCs w:val="24"/>
          <w:highlight w:val="none"/>
          <w:lang w:val="en-US" w:eastAsia="zh-CN"/>
        </w:rPr>
        <w:t>4</w:t>
      </w:r>
      <w:r>
        <w:rPr>
          <w:rFonts w:hint="default" w:ascii="Times New Roman" w:hAnsi="Times New Roman" w:eastAsia="宋体" w:cs="Times New Roman"/>
          <w:b w:val="0"/>
          <w:bCs w:val="0"/>
          <w:color w:val="auto"/>
          <w:kern w:val="2"/>
          <w:sz w:val="24"/>
          <w:szCs w:val="24"/>
          <w:highlight w:val="none"/>
        </w:rPr>
        <w:t>年0</w:t>
      </w:r>
      <w:r>
        <w:rPr>
          <w:rFonts w:hint="default" w:ascii="Times New Roman" w:hAnsi="Times New Roman" w:eastAsia="宋体" w:cs="Times New Roman"/>
          <w:b w:val="0"/>
          <w:bCs w:val="0"/>
          <w:color w:val="auto"/>
          <w:kern w:val="2"/>
          <w:sz w:val="24"/>
          <w:szCs w:val="24"/>
          <w:highlight w:val="none"/>
          <w:lang w:val="en-US" w:eastAsia="zh-CN"/>
        </w:rPr>
        <w:t>7</w:t>
      </w:r>
      <w:r>
        <w:rPr>
          <w:rFonts w:hint="default" w:ascii="Times New Roman" w:hAnsi="Times New Roman" w:eastAsia="宋体" w:cs="Times New Roman"/>
          <w:b w:val="0"/>
          <w:bCs w:val="0"/>
          <w:color w:val="auto"/>
          <w:kern w:val="2"/>
          <w:sz w:val="24"/>
          <w:szCs w:val="24"/>
          <w:highlight w:val="none"/>
        </w:rPr>
        <w:t>月完成标准征求意见稿。</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sz w:val="24"/>
          <w:szCs w:val="24"/>
          <w:highlight w:val="none"/>
        </w:rPr>
      </w:pPr>
      <w:r>
        <w:rPr>
          <w:rFonts w:hint="eastAsia" w:ascii="Times New Roman" w:hAnsi="Times New Roman" w:eastAsia="宋体" w:cs="Times New Roman"/>
          <w:b/>
          <w:bCs/>
          <w:color w:val="auto"/>
          <w:sz w:val="24"/>
          <w:szCs w:val="24"/>
          <w:highlight w:val="none"/>
          <w:lang w:val="en-US" w:eastAsia="zh-CN"/>
        </w:rPr>
        <w:t>1.3</w:t>
      </w:r>
      <w:r>
        <w:rPr>
          <w:rFonts w:hint="default" w:ascii="Times New Roman" w:hAnsi="Times New Roman" w:eastAsia="宋体" w:cs="Times New Roman"/>
          <w:b/>
          <w:bCs/>
          <w:color w:val="auto"/>
          <w:sz w:val="24"/>
          <w:szCs w:val="24"/>
          <w:highlight w:val="none"/>
        </w:rPr>
        <w:t>.2 征求意见阶段</w:t>
      </w:r>
    </w:p>
    <w:p>
      <w:pPr>
        <w:keepNext w:val="0"/>
        <w:keepLines w:val="0"/>
        <w:pageBreakBefore w:val="0"/>
        <w:wordWrap/>
        <w:overflowPunct/>
        <w:topLinePunct w:val="0"/>
        <w:bidi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202</w:t>
      </w:r>
      <w:r>
        <w:rPr>
          <w:rFonts w:hint="default"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t>年</w:t>
      </w:r>
      <w:r>
        <w:rPr>
          <w:rFonts w:hint="default" w:ascii="Times New Roman" w:hAnsi="Times New Roman" w:eastAsia="宋体" w:cs="Times New Roman"/>
          <w:color w:val="auto"/>
          <w:sz w:val="24"/>
          <w:szCs w:val="24"/>
          <w:highlight w:val="none"/>
          <w:lang w:val="en-US" w:eastAsia="zh-CN"/>
        </w:rPr>
        <w:t>X</w:t>
      </w:r>
      <w:r>
        <w:rPr>
          <w:rFonts w:hint="default" w:ascii="Times New Roman" w:hAnsi="Times New Roman" w:eastAsia="宋体" w:cs="Times New Roman"/>
          <w:color w:val="auto"/>
          <w:sz w:val="24"/>
          <w:szCs w:val="24"/>
          <w:highlight w:val="none"/>
        </w:rPr>
        <w:t>月</w:t>
      </w:r>
      <w:r>
        <w:rPr>
          <w:rFonts w:hint="default" w:ascii="Times New Roman" w:hAnsi="Times New Roman" w:eastAsia="宋体" w:cs="Times New Roman"/>
          <w:color w:val="auto"/>
          <w:sz w:val="24"/>
          <w:szCs w:val="24"/>
          <w:highlight w:val="none"/>
          <w:lang w:val="en-US" w:eastAsia="zh-CN"/>
        </w:rPr>
        <w:t>X</w:t>
      </w:r>
      <w:r>
        <w:rPr>
          <w:rFonts w:hint="default" w:ascii="Times New Roman" w:hAnsi="Times New Roman" w:eastAsia="宋体" w:cs="Times New Roman"/>
          <w:color w:val="auto"/>
          <w:sz w:val="24"/>
          <w:szCs w:val="24"/>
          <w:highlight w:val="none"/>
        </w:rPr>
        <w:t>日至202</w:t>
      </w:r>
      <w:r>
        <w:rPr>
          <w:rFonts w:hint="default"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t>年</w:t>
      </w:r>
      <w:r>
        <w:rPr>
          <w:rFonts w:hint="default" w:ascii="Times New Roman" w:hAnsi="Times New Roman" w:eastAsia="宋体" w:cs="Times New Roman"/>
          <w:color w:val="auto"/>
          <w:sz w:val="24"/>
          <w:szCs w:val="24"/>
          <w:highlight w:val="none"/>
          <w:lang w:val="en-US" w:eastAsia="zh-CN"/>
        </w:rPr>
        <w:t>X</w:t>
      </w:r>
      <w:r>
        <w:rPr>
          <w:rFonts w:hint="default" w:ascii="Times New Roman" w:hAnsi="Times New Roman" w:eastAsia="宋体" w:cs="Times New Roman"/>
          <w:color w:val="auto"/>
          <w:sz w:val="24"/>
          <w:szCs w:val="24"/>
          <w:highlight w:val="none"/>
        </w:rPr>
        <w:t>月</w:t>
      </w:r>
      <w:r>
        <w:rPr>
          <w:rFonts w:hint="default" w:ascii="Times New Roman" w:hAnsi="Times New Roman" w:eastAsia="宋体" w:cs="Times New Roman"/>
          <w:color w:val="auto"/>
          <w:sz w:val="24"/>
          <w:szCs w:val="24"/>
          <w:highlight w:val="none"/>
          <w:lang w:val="en-US" w:eastAsia="zh-CN"/>
        </w:rPr>
        <w:t>X</w:t>
      </w:r>
      <w:r>
        <w:rPr>
          <w:rFonts w:hint="default" w:ascii="Times New Roman" w:hAnsi="Times New Roman" w:eastAsia="宋体" w:cs="Times New Roman"/>
          <w:color w:val="auto"/>
          <w:sz w:val="24"/>
          <w:szCs w:val="24"/>
          <w:highlight w:val="none"/>
        </w:rPr>
        <w:t>日，由粉末冶金产业技术创新战略联盟主持，在</w:t>
      </w:r>
      <w:r>
        <w:rPr>
          <w:rFonts w:hint="default" w:ascii="Times New Roman" w:hAnsi="Times New Roman" w:eastAsia="宋体" w:cs="Times New Roman"/>
          <w:color w:val="auto"/>
          <w:sz w:val="24"/>
          <w:szCs w:val="24"/>
          <w:highlight w:val="none"/>
          <w:lang w:val="en-US" w:eastAsia="zh-CN"/>
        </w:rPr>
        <w:t>北京</w:t>
      </w:r>
      <w:r>
        <w:rPr>
          <w:rFonts w:hint="default" w:ascii="Times New Roman" w:hAnsi="Times New Roman" w:eastAsia="宋体" w:cs="Times New Roman"/>
          <w:color w:val="auto"/>
          <w:sz w:val="24"/>
          <w:szCs w:val="24"/>
          <w:highlight w:val="none"/>
        </w:rPr>
        <w:t>市召开了本标准的讨论会。来自</w:t>
      </w:r>
      <w:r>
        <w:rPr>
          <w:rFonts w:hint="default" w:ascii="Times New Roman" w:hAnsi="Times New Roman" w:eastAsia="宋体" w:cs="Times New Roman"/>
          <w:color w:val="auto"/>
          <w:sz w:val="24"/>
          <w:szCs w:val="24"/>
          <w:highlight w:val="none"/>
          <w:lang w:val="en-US" w:eastAsia="zh-CN"/>
        </w:rPr>
        <w:t>XX</w:t>
      </w:r>
      <w:r>
        <w:rPr>
          <w:rFonts w:hint="default" w:ascii="Times New Roman" w:hAnsi="Times New Roman" w:eastAsia="宋体" w:cs="Times New Roman"/>
          <w:color w:val="auto"/>
          <w:sz w:val="24"/>
          <w:szCs w:val="24"/>
          <w:highlight w:val="none"/>
        </w:rPr>
        <w:t>公司等</w:t>
      </w:r>
      <w:r>
        <w:rPr>
          <w:rFonts w:hint="default" w:ascii="Times New Roman" w:hAnsi="Times New Roman" w:eastAsia="宋体" w:cs="Times New Roman"/>
          <w:color w:val="auto"/>
          <w:sz w:val="24"/>
          <w:szCs w:val="24"/>
          <w:highlight w:val="none"/>
          <w:lang w:val="en-US" w:eastAsia="zh-CN"/>
        </w:rPr>
        <w:t>XX</w:t>
      </w:r>
      <w:r>
        <w:rPr>
          <w:rFonts w:hint="default" w:ascii="Times New Roman" w:hAnsi="Times New Roman" w:eastAsia="宋体" w:cs="Times New Roman"/>
          <w:color w:val="auto"/>
          <w:sz w:val="24"/>
          <w:szCs w:val="24"/>
          <w:highlight w:val="none"/>
        </w:rPr>
        <w:t>家单位</w:t>
      </w:r>
      <w:r>
        <w:rPr>
          <w:rFonts w:hint="default" w:ascii="Times New Roman" w:hAnsi="Times New Roman" w:eastAsia="宋体" w:cs="Times New Roman"/>
          <w:color w:val="auto"/>
          <w:sz w:val="24"/>
          <w:szCs w:val="24"/>
          <w:highlight w:val="none"/>
          <w:lang w:val="en-US" w:eastAsia="zh-CN"/>
        </w:rPr>
        <w:t>XX</w:t>
      </w:r>
      <w:r>
        <w:rPr>
          <w:rFonts w:hint="default" w:ascii="Times New Roman" w:hAnsi="Times New Roman" w:eastAsia="宋体" w:cs="Times New Roman"/>
          <w:color w:val="auto"/>
          <w:sz w:val="24"/>
          <w:szCs w:val="24"/>
          <w:highlight w:val="none"/>
        </w:rPr>
        <w:t>位专家代表参加了会议。与会代表对本标准（征求意见稿）进行了认真、细致的讨论，提出了修改意见及建议。</w:t>
      </w:r>
    </w:p>
    <w:p>
      <w:pPr>
        <w:keepNext w:val="0"/>
        <w:keepLines w:val="0"/>
        <w:pageBreakBefore w:val="0"/>
        <w:wordWrap/>
        <w:overflowPunct/>
        <w:topLinePunct w:val="0"/>
        <w:bidi w:val="0"/>
        <w:adjustRightInd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2024年XX月XX日至2024年XX月XX日，粉末冶金产业技术创新战略联盟将征求意见资料在</w:t>
      </w:r>
      <w:r>
        <w:rPr>
          <w:rFonts w:hint="default" w:ascii="Times New Roman" w:hAnsi="Times New Roman" w:eastAsia="宋体" w:cs="Times New Roman"/>
          <w:color w:val="auto"/>
          <w:sz w:val="24"/>
          <w:szCs w:val="24"/>
          <w:highlight w:val="none"/>
          <w:lang w:val="en-US" w:eastAsia="zh-CN"/>
        </w:rPr>
        <w:t>XX</w:t>
      </w:r>
      <w:r>
        <w:rPr>
          <w:rFonts w:hint="default" w:ascii="Times New Roman" w:hAnsi="Times New Roman" w:eastAsia="宋体" w:cs="Times New Roman"/>
          <w:color w:val="auto"/>
          <w:sz w:val="24"/>
          <w:szCs w:val="24"/>
          <w:highlight w:val="none"/>
        </w:rPr>
        <w:t>的“公共信息服务平台”上挂网，向社会公开征求意见。同时，粉末冶金产业技术创新战略联盟通过工作群、邮件向委员单位征求意见，并将征求意见资料在</w:t>
      </w:r>
      <w:r>
        <w:rPr>
          <w:rFonts w:hint="default" w:ascii="Times New Roman" w:hAnsi="Times New Roman" w:eastAsia="宋体" w:cs="Times New Roman"/>
          <w:color w:val="auto"/>
          <w:sz w:val="24"/>
          <w:szCs w:val="24"/>
          <w:highlight w:val="none"/>
          <w:lang w:val="en-US" w:eastAsia="zh-CN"/>
        </w:rPr>
        <w:t>XX</w:t>
      </w:r>
      <w:r>
        <w:rPr>
          <w:rFonts w:hint="default" w:ascii="Times New Roman" w:hAnsi="Times New Roman" w:eastAsia="宋体" w:cs="Times New Roman"/>
          <w:color w:val="auto"/>
          <w:sz w:val="24"/>
          <w:szCs w:val="24"/>
          <w:highlight w:val="none"/>
        </w:rPr>
        <w:t>网站上挂网。征求意见的单位包括主要生产、经销、使用、科研、检验等单位及大专院校，征求意见单位广泛且具有代表性，征求意见时间大于</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个月。</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sz w:val="24"/>
          <w:szCs w:val="24"/>
          <w:highlight w:val="none"/>
        </w:rPr>
      </w:pPr>
      <w:r>
        <w:rPr>
          <w:rFonts w:hint="eastAsia" w:ascii="Times New Roman" w:hAnsi="Times New Roman" w:eastAsia="宋体" w:cs="Times New Roman"/>
          <w:b/>
          <w:bCs/>
          <w:color w:val="auto"/>
          <w:sz w:val="24"/>
          <w:szCs w:val="24"/>
          <w:highlight w:val="none"/>
          <w:lang w:val="en-US" w:eastAsia="zh-CN"/>
        </w:rPr>
        <w:t>1.3</w:t>
      </w:r>
      <w:r>
        <w:rPr>
          <w:rFonts w:hint="default" w:ascii="Times New Roman" w:hAnsi="Times New Roman" w:eastAsia="宋体" w:cs="Times New Roman"/>
          <w:b/>
          <w:bCs/>
          <w:color w:val="auto"/>
          <w:sz w:val="24"/>
          <w:szCs w:val="24"/>
          <w:highlight w:val="none"/>
        </w:rPr>
        <w:t>.3 审查阶段</w:t>
      </w:r>
    </w:p>
    <w:p>
      <w:pPr>
        <w:keepNext w:val="0"/>
        <w:keepLines w:val="0"/>
        <w:pageBreakBefore w:val="0"/>
        <w:wordWrap/>
        <w:overflowPunct/>
        <w:topLinePunct w:val="0"/>
        <w:bidi w:val="0"/>
        <w:adjustRightInd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2024年XX月XX日至2024年XX月XX日，由粉末冶金产业技术创新战略联盟主持，在</w:t>
      </w:r>
      <w:r>
        <w:rPr>
          <w:rFonts w:hint="default" w:ascii="Times New Roman" w:hAnsi="Times New Roman" w:eastAsia="宋体" w:cs="Times New Roman"/>
          <w:color w:val="auto"/>
          <w:sz w:val="24"/>
          <w:szCs w:val="24"/>
          <w:highlight w:val="none"/>
          <w:lang w:val="en-US" w:eastAsia="zh-CN"/>
        </w:rPr>
        <w:t>北京</w:t>
      </w:r>
      <w:r>
        <w:rPr>
          <w:rFonts w:hint="default" w:ascii="Times New Roman" w:hAnsi="Times New Roman" w:eastAsia="宋体" w:cs="Times New Roman"/>
          <w:color w:val="auto"/>
          <w:sz w:val="24"/>
          <w:szCs w:val="24"/>
          <w:highlight w:val="none"/>
        </w:rPr>
        <w:t>市组织召开本标准审定会。来自XXX、XXX等XX家单位的XX余位专家代表参加了会议，见《</w:t>
      </w:r>
      <w:r>
        <w:rPr>
          <w:rFonts w:hint="default" w:ascii="Times New Roman" w:hAnsi="Times New Roman" w:eastAsia="宋体" w:cs="Times New Roman"/>
          <w:color w:val="auto"/>
          <w:sz w:val="24"/>
          <w:szCs w:val="24"/>
          <w:highlight w:val="none"/>
          <w:lang w:val="en-US" w:eastAsia="zh-CN"/>
        </w:rPr>
        <w:t>XX</w:t>
      </w:r>
      <w:r>
        <w:rPr>
          <w:rFonts w:hint="default" w:ascii="Times New Roman" w:hAnsi="Times New Roman" w:eastAsia="宋体" w:cs="Times New Roman"/>
          <w:color w:val="auto"/>
          <w:sz w:val="24"/>
          <w:szCs w:val="24"/>
          <w:highlight w:val="none"/>
        </w:rPr>
        <w:t>审定会参加单位及代表签名》。会议对</w:t>
      </w:r>
      <w:r>
        <w:rPr>
          <w:rFonts w:hint="eastAsia" w:ascii="Times New Roman" w:hAnsi="Times New Roman" w:eastAsia="宋体" w:cs="Times New Roman"/>
          <w:color w:val="auto"/>
          <w:sz w:val="24"/>
          <w:szCs w:val="24"/>
          <w:highlight w:val="none"/>
          <w:lang w:eastAsia="zh-CN"/>
        </w:rPr>
        <w:t>株洲万融新材科技有限公司</w:t>
      </w:r>
      <w:r>
        <w:rPr>
          <w:rFonts w:hint="default" w:ascii="Times New Roman" w:hAnsi="Times New Roman" w:eastAsia="宋体" w:cs="Times New Roman"/>
          <w:color w:val="auto"/>
          <w:sz w:val="24"/>
          <w:szCs w:val="24"/>
          <w:highlight w:val="none"/>
        </w:rPr>
        <w:t>负责起草的</w:t>
      </w:r>
      <w:r>
        <w:rPr>
          <w:rFonts w:hint="default" w:ascii="Times New Roman" w:hAnsi="Times New Roman" w:eastAsia="宋体" w:cs="Times New Roman"/>
          <w:color w:val="auto"/>
          <w:sz w:val="24"/>
          <w:szCs w:val="24"/>
          <w:highlight w:val="none"/>
          <w:lang w:val="en-US" w:eastAsia="zh-CN"/>
        </w:rPr>
        <w:t>团体</w:t>
      </w:r>
      <w:r>
        <w:rPr>
          <w:rFonts w:hint="default" w:ascii="Times New Roman" w:hAnsi="Times New Roman" w:eastAsia="宋体" w:cs="Times New Roman"/>
          <w:color w:val="auto"/>
          <w:sz w:val="24"/>
          <w:szCs w:val="24"/>
          <w:highlight w:val="none"/>
        </w:rPr>
        <w:t>标准《</w:t>
      </w:r>
      <w:r>
        <w:rPr>
          <w:rFonts w:hint="eastAsia" w:cs="Times New Roman"/>
          <w:color w:val="auto"/>
          <w:sz w:val="24"/>
          <w:szCs w:val="24"/>
          <w:highlight w:val="none"/>
          <w:lang w:eastAsia="zh-CN"/>
        </w:rPr>
        <w:t>振荡热压真空烧结炉</w:t>
      </w:r>
      <w:r>
        <w:rPr>
          <w:rFonts w:hint="default" w:ascii="Times New Roman" w:hAnsi="Times New Roman" w:eastAsia="宋体" w:cs="Times New Roman"/>
          <w:color w:val="auto"/>
          <w:sz w:val="24"/>
          <w:szCs w:val="24"/>
          <w:highlight w:val="none"/>
        </w:rPr>
        <w:t>》（送审稿）进行了认真细致的审定并提出修改意见，见《</w:t>
      </w:r>
      <w:r>
        <w:rPr>
          <w:rFonts w:hint="default" w:ascii="Times New Roman" w:hAnsi="Times New Roman" w:eastAsia="宋体" w:cs="Times New Roman"/>
          <w:color w:val="auto"/>
          <w:sz w:val="24"/>
          <w:szCs w:val="24"/>
          <w:highlight w:val="none"/>
          <w:lang w:val="en-US" w:eastAsia="zh-CN"/>
        </w:rPr>
        <w:t>团体</w:t>
      </w:r>
      <w:r>
        <w:rPr>
          <w:rFonts w:hint="default" w:ascii="Times New Roman" w:hAnsi="Times New Roman" w:eastAsia="宋体" w:cs="Times New Roman"/>
          <w:color w:val="auto"/>
          <w:sz w:val="24"/>
          <w:szCs w:val="24"/>
          <w:highlight w:val="none"/>
        </w:rPr>
        <w:t>标准审定会会议纪要》。标准编制组采纳了审定会意见，对标准送审稿进行了修改完善。</w:t>
      </w:r>
    </w:p>
    <w:p>
      <w:pPr>
        <w:keepNext w:val="0"/>
        <w:keepLines w:val="0"/>
        <w:pageBreakBefore w:val="0"/>
        <w:wordWrap/>
        <w:overflowPunct/>
        <w:topLinePunct w:val="0"/>
        <w:bidi w:val="0"/>
        <w:spacing w:line="360" w:lineRule="auto"/>
        <w:ind w:firstLine="482" w:firstLineChars="200"/>
        <w:rPr>
          <w:rFonts w:hint="default" w:ascii="Times New Roman" w:hAnsi="Times New Roman" w:eastAsia="宋体" w:cs="Times New Roman"/>
          <w:b/>
          <w:bCs/>
          <w:color w:val="auto"/>
          <w:sz w:val="24"/>
          <w:szCs w:val="24"/>
          <w:highlight w:val="none"/>
        </w:rPr>
      </w:pPr>
      <w:r>
        <w:rPr>
          <w:rFonts w:hint="eastAsia" w:ascii="Times New Roman" w:hAnsi="Times New Roman" w:eastAsia="宋体" w:cs="Times New Roman"/>
          <w:b/>
          <w:bCs/>
          <w:color w:val="auto"/>
          <w:sz w:val="24"/>
          <w:szCs w:val="24"/>
          <w:highlight w:val="none"/>
          <w:lang w:val="en-US" w:eastAsia="zh-CN"/>
        </w:rPr>
        <w:t>1.3</w:t>
      </w:r>
      <w:r>
        <w:rPr>
          <w:rFonts w:hint="default" w:ascii="Times New Roman" w:hAnsi="Times New Roman" w:eastAsia="宋体" w:cs="Times New Roman"/>
          <w:b/>
          <w:bCs/>
          <w:color w:val="auto"/>
          <w:sz w:val="24"/>
          <w:szCs w:val="24"/>
          <w:highlight w:val="none"/>
        </w:rPr>
        <w:t>.4 报批阶段</w:t>
      </w:r>
    </w:p>
    <w:p>
      <w:pPr>
        <w:keepNext w:val="0"/>
        <w:keepLines w:val="0"/>
        <w:pageBreakBefore w:val="0"/>
        <w:wordWrap/>
        <w:overflowPunct/>
        <w:topLinePunct w:val="0"/>
        <w:bidi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标准编制组对标准文本和编制说明进行修改完善，形成标准报批稿报送至粉末冶金产业技术创新战略联盟，现上报至</w:t>
      </w:r>
      <w:r>
        <w:rPr>
          <w:rFonts w:hint="default" w:ascii="Times New Roman" w:hAnsi="Times New Roman" w:eastAsia="宋体" w:cs="Times New Roman"/>
          <w:color w:val="auto"/>
          <w:sz w:val="24"/>
          <w:szCs w:val="24"/>
          <w:highlight w:val="none"/>
          <w:lang w:val="en-US" w:eastAsia="zh-CN"/>
        </w:rPr>
        <w:t>XX</w:t>
      </w:r>
      <w:r>
        <w:rPr>
          <w:rFonts w:hint="default" w:ascii="Times New Roman" w:hAnsi="Times New Roman" w:eastAsia="宋体" w:cs="Times New Roman"/>
          <w:color w:val="auto"/>
          <w:sz w:val="24"/>
          <w:szCs w:val="24"/>
          <w:highlight w:val="none"/>
        </w:rPr>
        <w:t>审批、发布。</w:t>
      </w:r>
    </w:p>
    <w:p>
      <w:pPr>
        <w:pStyle w:val="14"/>
        <w:keepNext w:val="0"/>
        <w:keepLines w:val="0"/>
        <w:pageBreakBefore w:val="0"/>
        <w:numPr>
          <w:ilvl w:val="0"/>
          <w:numId w:val="0"/>
        </w:numPr>
        <w:wordWrap/>
        <w:overflowPunct/>
        <w:topLinePunct w:val="0"/>
        <w:bidi w:val="0"/>
        <w:spacing w:line="360" w:lineRule="auto"/>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sz w:val="24"/>
          <w:szCs w:val="24"/>
          <w:highlight w:val="none"/>
        </w:rPr>
        <w:t>委员投票情况：2024年XX月XX日至2024年XX月XX日，由粉末冶金产业技术创新战略联盟组织，在“</w:t>
      </w:r>
      <w:r>
        <w:rPr>
          <w:rFonts w:hint="default" w:ascii="Times New Roman" w:hAnsi="Times New Roman" w:eastAsia="宋体" w:cs="Times New Roman"/>
          <w:color w:val="auto"/>
          <w:sz w:val="24"/>
          <w:szCs w:val="24"/>
          <w:highlight w:val="none"/>
          <w:lang w:val="en-US" w:eastAsia="zh-CN"/>
        </w:rPr>
        <w:t>XX</w:t>
      </w:r>
      <w:r>
        <w:rPr>
          <w:rFonts w:hint="default" w:ascii="Times New Roman" w:hAnsi="Times New Roman" w:eastAsia="宋体" w:cs="Times New Roman"/>
          <w:color w:val="auto"/>
          <w:sz w:val="24"/>
          <w:szCs w:val="24"/>
          <w:highlight w:val="none"/>
        </w:rPr>
        <w:t>工作平台”进行了委员投票，本SC全体委员人数共有XX人，参与投票XX人，投票同意本标准通过审查XX人，其中，起草人员X人。</w:t>
      </w:r>
    </w:p>
    <w:p>
      <w:pPr>
        <w:pStyle w:val="14"/>
        <w:keepNext w:val="0"/>
        <w:keepLines w:val="0"/>
        <w:pageBreakBefore w:val="0"/>
        <w:wordWrap/>
        <w:overflowPunct/>
        <w:topLinePunct w:val="0"/>
        <w:bidi w:val="0"/>
        <w:spacing w:line="360" w:lineRule="auto"/>
        <w:ind w:firstLine="482"/>
        <w:rPr>
          <w:rFonts w:hint="default" w:ascii="Times New Roman" w:hAnsi="Times New Roman" w:cs="Times New Roman"/>
          <w:b/>
          <w:color w:val="auto"/>
          <w:sz w:val="24"/>
          <w:szCs w:val="24"/>
          <w:highlight w:val="none"/>
        </w:rPr>
      </w:pPr>
      <w:r>
        <w:rPr>
          <w:rFonts w:hint="default" w:ascii="黑体" w:hAnsi="黑体" w:eastAsia="黑体" w:cs="黑体"/>
          <w:b w:val="0"/>
          <w:bCs w:val="0"/>
          <w:color w:val="auto"/>
          <w:kern w:val="2"/>
          <w:sz w:val="24"/>
          <w:szCs w:val="24"/>
          <w:highlight w:val="none"/>
          <w:lang w:val="en-US" w:eastAsia="zh-CN" w:bidi="ar-SA"/>
        </w:rPr>
        <w:t>二、标准编制原则和确定主要内容的论据及解决的主要问题</w:t>
      </w:r>
    </w:p>
    <w:p>
      <w:pPr>
        <w:pStyle w:val="14"/>
        <w:keepNext w:val="0"/>
        <w:keepLines w:val="0"/>
        <w:pageBreakBefore w:val="0"/>
        <w:wordWrap/>
        <w:overflowPunct/>
        <w:topLinePunct w:val="0"/>
        <w:bidi w:val="0"/>
        <w:spacing w:line="360" w:lineRule="auto"/>
        <w:ind w:firstLine="482"/>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2.1</w:t>
      </w:r>
      <w:r>
        <w:rPr>
          <w:rFonts w:hint="default" w:ascii="Times New Roman" w:hAnsi="Times New Roman" w:cs="Times New Roman"/>
          <w:b/>
          <w:color w:val="auto"/>
          <w:sz w:val="24"/>
          <w:szCs w:val="24"/>
          <w:highlight w:val="none"/>
          <w:lang w:val="en-US" w:eastAsia="zh-CN"/>
        </w:rPr>
        <w:t xml:space="preserve"> </w:t>
      </w:r>
      <w:r>
        <w:rPr>
          <w:rFonts w:hint="default" w:ascii="Times New Roman" w:hAnsi="Times New Roman" w:cs="Times New Roman"/>
          <w:b/>
          <w:color w:val="auto"/>
          <w:sz w:val="24"/>
          <w:szCs w:val="24"/>
          <w:highlight w:val="none"/>
        </w:rPr>
        <w:t>标准编制原则</w:t>
      </w:r>
    </w:p>
    <w:p>
      <w:pPr>
        <w:pStyle w:val="14"/>
        <w:keepNext w:val="0"/>
        <w:keepLines w:val="0"/>
        <w:pageBreakBefore w:val="0"/>
        <w:wordWrap/>
        <w:overflowPunct/>
        <w:topLinePunct w:val="0"/>
        <w:bidi w:val="0"/>
        <w:spacing w:line="360" w:lineRule="auto"/>
        <w:ind w:firstLine="480"/>
        <w:rPr>
          <w:rFonts w:hint="default" w:ascii="Times New Roman" w:hAnsi="Times New Roman" w:cs="Times New Roman"/>
          <w:bCs/>
          <w:color w:val="auto"/>
          <w:sz w:val="24"/>
          <w:szCs w:val="24"/>
          <w:highlight w:val="none"/>
          <w:lang w:val="en-US" w:eastAsia="zh-CN"/>
        </w:rPr>
      </w:pPr>
      <w:r>
        <w:rPr>
          <w:rFonts w:hint="default" w:ascii="Times New Roman" w:hAnsi="Times New Roman" w:cs="Times New Roman"/>
          <w:bCs/>
          <w:color w:val="auto"/>
          <w:sz w:val="24"/>
          <w:szCs w:val="24"/>
          <w:highlight w:val="none"/>
        </w:rPr>
        <w:t>1）</w:t>
      </w:r>
      <w:r>
        <w:rPr>
          <w:rFonts w:hint="default" w:ascii="Times New Roman" w:hAnsi="Times New Roman" w:cs="Times New Roman"/>
          <w:bCs/>
          <w:color w:val="auto"/>
          <w:sz w:val="24"/>
          <w:szCs w:val="24"/>
          <w:highlight w:val="none"/>
          <w:lang w:val="en-US" w:eastAsia="zh-CN"/>
        </w:rPr>
        <w:t>符合性</w:t>
      </w:r>
    </w:p>
    <w:p>
      <w:pPr>
        <w:pStyle w:val="14"/>
        <w:keepNext w:val="0"/>
        <w:keepLines w:val="0"/>
        <w:pageBreakBefore w:val="0"/>
        <w:wordWrap/>
        <w:overflowPunct/>
        <w:topLinePunct w:val="0"/>
        <w:bidi w:val="0"/>
        <w:spacing w:line="360" w:lineRule="auto"/>
        <w:ind w:firstLine="480"/>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highlight w:val="none"/>
        </w:rPr>
        <w:t>本标准按照GB/T 1.1-2020《标准化工作导则 第1部分：标准化文件的结构和起草规则》给出的规则起草。</w:t>
      </w:r>
    </w:p>
    <w:p>
      <w:pPr>
        <w:pStyle w:val="14"/>
        <w:keepNext w:val="0"/>
        <w:keepLines w:val="0"/>
        <w:pageBreakBefore w:val="0"/>
        <w:numPr>
          <w:ilvl w:val="0"/>
          <w:numId w:val="3"/>
        </w:numPr>
        <w:wordWrap/>
        <w:overflowPunct/>
        <w:topLinePunct w:val="0"/>
        <w:bidi w:val="0"/>
        <w:spacing w:line="360" w:lineRule="auto"/>
        <w:ind w:firstLine="480"/>
        <w:rPr>
          <w:rFonts w:hint="default" w:ascii="Times New Roman" w:hAnsi="Times New Roman" w:cs="Times New Roman"/>
          <w:bCs/>
          <w:color w:val="auto"/>
          <w:sz w:val="24"/>
          <w:szCs w:val="24"/>
          <w:highlight w:val="none"/>
          <w:lang w:val="en-US" w:eastAsia="zh-CN"/>
        </w:rPr>
      </w:pPr>
      <w:r>
        <w:rPr>
          <w:rFonts w:hint="default" w:ascii="Times New Roman" w:hAnsi="Times New Roman" w:cs="Times New Roman"/>
          <w:bCs/>
          <w:color w:val="auto"/>
          <w:sz w:val="24"/>
          <w:szCs w:val="24"/>
          <w:highlight w:val="none"/>
          <w:lang w:val="en-US" w:eastAsia="zh-CN"/>
        </w:rPr>
        <w:t>适用性</w:t>
      </w:r>
    </w:p>
    <w:p>
      <w:pPr>
        <w:pStyle w:val="14"/>
        <w:keepNext w:val="0"/>
        <w:keepLines w:val="0"/>
        <w:pageBreakBefore w:val="0"/>
        <w:numPr>
          <w:ilvl w:val="0"/>
          <w:numId w:val="0"/>
        </w:numPr>
        <w:wordWrap/>
        <w:overflowPunct/>
        <w:topLinePunct w:val="0"/>
        <w:bidi w:val="0"/>
        <w:spacing w:line="360" w:lineRule="auto"/>
        <w:ind w:firstLine="480" w:firstLineChars="200"/>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highlight w:val="none"/>
        </w:rPr>
        <w:t>本标准内容涉及</w:t>
      </w:r>
      <w:r>
        <w:rPr>
          <w:rFonts w:hint="eastAsia" w:ascii="Times New Roman" w:cs="Times New Roman"/>
          <w:bCs/>
          <w:color w:val="auto"/>
          <w:sz w:val="24"/>
          <w:szCs w:val="24"/>
          <w:highlight w:val="none"/>
          <w:lang w:eastAsia="zh-CN"/>
        </w:rPr>
        <w:t>振荡热压真空烧结</w:t>
      </w:r>
      <w:r>
        <w:rPr>
          <w:rFonts w:hint="eastAsia" w:ascii="Times New Roman" w:hAnsi="Times New Roman" w:cs="Times New Roman"/>
          <w:bCs/>
          <w:color w:val="auto"/>
          <w:sz w:val="24"/>
          <w:szCs w:val="24"/>
          <w:highlight w:val="none"/>
          <w:lang w:eastAsia="zh-CN"/>
        </w:rPr>
        <w:t>炉</w:t>
      </w:r>
      <w:r>
        <w:rPr>
          <w:rFonts w:hint="default" w:ascii="Times New Roman" w:hAnsi="Times New Roman" w:cs="Times New Roman"/>
          <w:bCs/>
          <w:color w:val="auto"/>
          <w:sz w:val="24"/>
          <w:szCs w:val="24"/>
          <w:highlight w:val="none"/>
        </w:rPr>
        <w:t>的</w:t>
      </w:r>
      <w:r>
        <w:rPr>
          <w:rFonts w:hint="default" w:ascii="Times New Roman" w:hAnsi="Times New Roman" w:cs="Times New Roman"/>
          <w:bCs/>
          <w:color w:val="auto"/>
          <w:sz w:val="24"/>
          <w:szCs w:val="24"/>
          <w:highlight w:val="none"/>
          <w:lang w:eastAsia="zh-CN"/>
        </w:rPr>
        <w:t>分类、主要参数、技术要求、试验方法、检验规则、标志、包装、运输、贮存</w:t>
      </w:r>
      <w:r>
        <w:rPr>
          <w:rFonts w:hint="eastAsia" w:ascii="Times New Roman" w:hAnsi="Times New Roman" w:cs="Times New Roman"/>
          <w:bCs/>
          <w:color w:val="auto"/>
          <w:sz w:val="24"/>
          <w:szCs w:val="24"/>
          <w:highlight w:val="none"/>
          <w:lang w:val="en-US" w:eastAsia="zh-CN"/>
        </w:rPr>
        <w:t>等</w:t>
      </w:r>
      <w:r>
        <w:rPr>
          <w:rFonts w:hint="default" w:ascii="Times New Roman" w:hAnsi="Times New Roman" w:cs="Times New Roman"/>
          <w:bCs/>
          <w:color w:val="auto"/>
          <w:sz w:val="24"/>
          <w:szCs w:val="24"/>
          <w:highlight w:val="none"/>
        </w:rPr>
        <w:t>内容，确保技术要求的科学性和合理性。</w:t>
      </w:r>
    </w:p>
    <w:p>
      <w:pPr>
        <w:pStyle w:val="14"/>
        <w:keepNext w:val="0"/>
        <w:keepLines w:val="0"/>
        <w:pageBreakBefore w:val="0"/>
        <w:numPr>
          <w:ilvl w:val="0"/>
          <w:numId w:val="0"/>
        </w:numPr>
        <w:wordWrap/>
        <w:overflowPunct/>
        <w:topLinePunct w:val="0"/>
        <w:bidi w:val="0"/>
        <w:spacing w:line="360" w:lineRule="auto"/>
        <w:ind w:leftChars="200"/>
        <w:rPr>
          <w:rFonts w:hint="default" w:ascii="Times New Roman" w:hAnsi="Times New Roman" w:cs="Times New Roman"/>
          <w:b/>
          <w:bCs w:val="0"/>
          <w:color w:val="auto"/>
          <w:sz w:val="24"/>
          <w:szCs w:val="24"/>
          <w:highlight w:val="none"/>
          <w:lang w:val="en-US" w:eastAsia="zh-CN"/>
        </w:rPr>
      </w:pPr>
      <w:r>
        <w:rPr>
          <w:rFonts w:hint="eastAsia" w:ascii="Times New Roman" w:hAnsi="Times New Roman" w:cs="Times New Roman"/>
          <w:b/>
          <w:bCs w:val="0"/>
          <w:color w:val="auto"/>
          <w:sz w:val="24"/>
          <w:szCs w:val="24"/>
          <w:highlight w:val="none"/>
          <w:lang w:val="en-US" w:eastAsia="zh-CN"/>
        </w:rPr>
        <w:t>2.2 标准解决的主要问题</w:t>
      </w:r>
    </w:p>
    <w:p>
      <w:pPr>
        <w:pStyle w:val="14"/>
        <w:keepNext w:val="0"/>
        <w:keepLines w:val="0"/>
        <w:pageBreakBefore w:val="0"/>
        <w:numPr>
          <w:ilvl w:val="0"/>
          <w:numId w:val="0"/>
        </w:numPr>
        <w:wordWrap/>
        <w:overflowPunct/>
        <w:topLinePunct w:val="0"/>
        <w:bidi w:val="0"/>
        <w:spacing w:line="360" w:lineRule="auto"/>
        <w:ind w:firstLine="480" w:firstLineChars="200"/>
        <w:rPr>
          <w:rFonts w:hint="default" w:ascii="Times New Roman" w:hAnsi="Times New Roman" w:eastAsia="宋体" w:cs="Times New Roman"/>
          <w:bCs/>
          <w:color w:val="auto"/>
          <w:kern w:val="0"/>
          <w:sz w:val="24"/>
          <w:szCs w:val="24"/>
          <w:highlight w:val="none"/>
          <w:lang w:val="en-US" w:eastAsia="zh-CN" w:bidi="ar-SA"/>
        </w:rPr>
      </w:pPr>
      <w:r>
        <w:rPr>
          <w:rFonts w:hint="default" w:ascii="Times New Roman" w:hAnsi="Times New Roman" w:eastAsia="宋体" w:cs="Times New Roman"/>
          <w:bCs/>
          <w:color w:val="auto"/>
          <w:kern w:val="0"/>
          <w:sz w:val="24"/>
          <w:szCs w:val="24"/>
          <w:highlight w:val="none"/>
          <w:lang w:val="en-US" w:eastAsia="zh-CN" w:bidi="ar-SA"/>
        </w:rPr>
        <w:t>振荡热压真空烧结成型技术是近年来出现的一种全新的粉末</w:t>
      </w:r>
      <w:r>
        <w:rPr>
          <w:rFonts w:hint="eastAsia" w:ascii="Times New Roman" w:hAnsi="Times New Roman" w:eastAsia="宋体" w:cs="Times New Roman"/>
          <w:bCs/>
          <w:color w:val="auto"/>
          <w:kern w:val="0"/>
          <w:sz w:val="24"/>
          <w:szCs w:val="24"/>
          <w:highlight w:val="none"/>
          <w:lang w:val="en-US" w:eastAsia="zh-CN" w:bidi="ar-SA"/>
        </w:rPr>
        <w:t>冶金</w:t>
      </w:r>
      <w:r>
        <w:rPr>
          <w:rFonts w:hint="default" w:ascii="Times New Roman" w:hAnsi="Times New Roman" w:eastAsia="宋体" w:cs="Times New Roman"/>
          <w:bCs/>
          <w:color w:val="auto"/>
          <w:kern w:val="0"/>
          <w:sz w:val="24"/>
          <w:szCs w:val="24"/>
          <w:highlight w:val="none"/>
          <w:lang w:val="en-US" w:eastAsia="zh-CN" w:bidi="ar-SA"/>
        </w:rPr>
        <w:t>成型技术，其技术内涵在于，在高温高真空</w:t>
      </w:r>
      <w:r>
        <w:rPr>
          <w:rFonts w:hint="eastAsia" w:ascii="Times New Roman" w:hAnsi="Times New Roman" w:eastAsia="宋体" w:cs="Times New Roman"/>
          <w:bCs/>
          <w:color w:val="auto"/>
          <w:kern w:val="0"/>
          <w:sz w:val="24"/>
          <w:szCs w:val="24"/>
          <w:highlight w:val="none"/>
          <w:lang w:val="en-US" w:eastAsia="zh-CN" w:bidi="ar-SA"/>
        </w:rPr>
        <w:t>或惰性气体保护</w:t>
      </w:r>
      <w:r>
        <w:rPr>
          <w:rFonts w:hint="default" w:ascii="Times New Roman" w:hAnsi="Times New Roman" w:eastAsia="宋体" w:cs="Times New Roman"/>
          <w:bCs/>
          <w:color w:val="auto"/>
          <w:kern w:val="0"/>
          <w:sz w:val="24"/>
          <w:szCs w:val="24"/>
          <w:highlight w:val="none"/>
          <w:lang w:val="en-US" w:eastAsia="zh-CN" w:bidi="ar-SA"/>
        </w:rPr>
        <w:t>条件下采用交变的机械冲击代替高压气体对金属、</w:t>
      </w:r>
      <w:r>
        <w:rPr>
          <w:rFonts w:hint="eastAsia" w:ascii="Times New Roman" w:hAnsi="Times New Roman" w:eastAsia="宋体" w:cs="Times New Roman"/>
          <w:bCs/>
          <w:color w:val="auto"/>
          <w:kern w:val="0"/>
          <w:sz w:val="24"/>
          <w:szCs w:val="24"/>
          <w:highlight w:val="none"/>
          <w:lang w:val="en-US" w:eastAsia="zh-CN" w:bidi="ar-SA"/>
        </w:rPr>
        <w:t>金属陶瓷、特种陶瓷</w:t>
      </w:r>
      <w:r>
        <w:rPr>
          <w:rFonts w:hint="default" w:ascii="Times New Roman" w:hAnsi="Times New Roman" w:eastAsia="宋体" w:cs="Times New Roman"/>
          <w:bCs/>
          <w:color w:val="auto"/>
          <w:kern w:val="0"/>
          <w:sz w:val="24"/>
          <w:szCs w:val="24"/>
          <w:highlight w:val="none"/>
          <w:lang w:val="en-US" w:eastAsia="zh-CN" w:bidi="ar-SA"/>
        </w:rPr>
        <w:t>进行致密化成型，该</w:t>
      </w:r>
      <w:r>
        <w:rPr>
          <w:rFonts w:hint="eastAsia" w:ascii="Times New Roman" w:hAnsi="Times New Roman" w:eastAsia="宋体" w:cs="Times New Roman"/>
          <w:bCs/>
          <w:color w:val="auto"/>
          <w:kern w:val="0"/>
          <w:sz w:val="24"/>
          <w:szCs w:val="24"/>
          <w:highlight w:val="none"/>
          <w:lang w:val="en-US" w:eastAsia="zh-CN" w:bidi="ar-SA"/>
        </w:rPr>
        <w:t>制备</w:t>
      </w:r>
      <w:r>
        <w:rPr>
          <w:rFonts w:hint="default" w:ascii="Times New Roman" w:hAnsi="Times New Roman" w:eastAsia="宋体" w:cs="Times New Roman"/>
          <w:bCs/>
          <w:color w:val="auto"/>
          <w:kern w:val="0"/>
          <w:sz w:val="24"/>
          <w:szCs w:val="24"/>
          <w:highlight w:val="none"/>
          <w:lang w:val="en-US" w:eastAsia="zh-CN" w:bidi="ar-SA"/>
        </w:rPr>
        <w:t>技术无需传统的一次性金属包套、昂贵的真空脱气装套封焊设备和热等静压设备</w:t>
      </w:r>
      <w:r>
        <w:rPr>
          <w:rFonts w:hint="eastAsia" w:ascii="Times New Roman" w:hAnsi="Times New Roman" w:eastAsia="宋体" w:cs="Times New Roman"/>
          <w:bCs/>
          <w:color w:val="auto"/>
          <w:kern w:val="0"/>
          <w:sz w:val="24"/>
          <w:szCs w:val="24"/>
          <w:highlight w:val="none"/>
          <w:lang w:val="en-US" w:eastAsia="zh-CN" w:bidi="ar-SA"/>
        </w:rPr>
        <w:t>，</w:t>
      </w:r>
      <w:r>
        <w:rPr>
          <w:rFonts w:hint="default" w:ascii="Times New Roman" w:hAnsi="Times New Roman" w:eastAsia="宋体" w:cs="Times New Roman"/>
          <w:bCs/>
          <w:color w:val="auto"/>
          <w:kern w:val="0"/>
          <w:sz w:val="24"/>
          <w:szCs w:val="24"/>
          <w:highlight w:val="none"/>
          <w:lang w:val="en-US" w:eastAsia="zh-CN" w:bidi="ar-SA"/>
        </w:rPr>
        <w:t>粉末利用率近100%，可实现</w:t>
      </w:r>
      <w:r>
        <w:rPr>
          <w:rFonts w:hint="eastAsia" w:ascii="Times New Roman" w:hAnsi="Times New Roman" w:eastAsia="宋体" w:cs="Times New Roman"/>
          <w:bCs/>
          <w:color w:val="auto"/>
          <w:kern w:val="0"/>
          <w:sz w:val="24"/>
          <w:szCs w:val="24"/>
          <w:highlight w:val="none"/>
          <w:lang w:val="en-US" w:eastAsia="zh-CN" w:bidi="ar-SA"/>
        </w:rPr>
        <w:t>航空、航天和半导体等行业</w:t>
      </w:r>
      <w:r>
        <w:rPr>
          <w:rFonts w:hint="default" w:ascii="Times New Roman" w:hAnsi="Times New Roman" w:eastAsia="宋体" w:cs="Times New Roman"/>
          <w:bCs/>
          <w:color w:val="auto"/>
          <w:kern w:val="0"/>
          <w:sz w:val="24"/>
          <w:szCs w:val="24"/>
          <w:highlight w:val="none"/>
          <w:lang w:val="en-US" w:eastAsia="zh-CN" w:bidi="ar-SA"/>
        </w:rPr>
        <w:t>高密高纯</w:t>
      </w:r>
      <w:r>
        <w:rPr>
          <w:rFonts w:hint="eastAsia" w:ascii="Times New Roman" w:hAnsi="Times New Roman" w:eastAsia="宋体" w:cs="Times New Roman"/>
          <w:bCs/>
          <w:color w:val="auto"/>
          <w:kern w:val="0"/>
          <w:sz w:val="24"/>
          <w:szCs w:val="24"/>
          <w:highlight w:val="none"/>
          <w:lang w:val="en-US" w:eastAsia="zh-CN" w:bidi="ar-SA"/>
        </w:rPr>
        <w:t>材料</w:t>
      </w:r>
      <w:r>
        <w:rPr>
          <w:rFonts w:hint="default" w:ascii="Times New Roman" w:hAnsi="Times New Roman" w:eastAsia="宋体" w:cs="Times New Roman"/>
          <w:bCs/>
          <w:color w:val="auto"/>
          <w:kern w:val="0"/>
          <w:sz w:val="24"/>
          <w:szCs w:val="24"/>
          <w:highlight w:val="none"/>
          <w:lang w:val="en-US" w:eastAsia="zh-CN" w:bidi="ar-SA"/>
        </w:rPr>
        <w:t>坯体</w:t>
      </w:r>
      <w:r>
        <w:rPr>
          <w:rFonts w:hint="eastAsia" w:ascii="Times New Roman" w:hAnsi="Times New Roman" w:eastAsia="宋体" w:cs="Times New Roman"/>
          <w:bCs/>
          <w:color w:val="auto"/>
          <w:kern w:val="0"/>
          <w:sz w:val="24"/>
          <w:szCs w:val="24"/>
          <w:highlight w:val="none"/>
          <w:lang w:val="en-US" w:eastAsia="zh-CN" w:bidi="ar-SA"/>
        </w:rPr>
        <w:t>的</w:t>
      </w:r>
      <w:r>
        <w:rPr>
          <w:rFonts w:hint="default" w:ascii="Times New Roman" w:hAnsi="Times New Roman" w:eastAsia="宋体" w:cs="Times New Roman"/>
          <w:bCs/>
          <w:color w:val="auto"/>
          <w:kern w:val="0"/>
          <w:sz w:val="24"/>
          <w:szCs w:val="24"/>
          <w:highlight w:val="none"/>
          <w:lang w:val="en-US" w:eastAsia="zh-CN" w:bidi="ar-SA"/>
        </w:rPr>
        <w:t>短流程、短时间、低成本规模化生产。</w:t>
      </w:r>
    </w:p>
    <w:p>
      <w:pPr>
        <w:pStyle w:val="14"/>
        <w:keepNext w:val="0"/>
        <w:keepLines w:val="0"/>
        <w:pageBreakBefore w:val="0"/>
        <w:numPr>
          <w:ilvl w:val="0"/>
          <w:numId w:val="0"/>
        </w:numPr>
        <w:wordWrap/>
        <w:overflowPunct/>
        <w:topLinePunct w:val="0"/>
        <w:bidi w:val="0"/>
        <w:spacing w:line="360" w:lineRule="auto"/>
        <w:ind w:firstLine="480" w:firstLineChars="200"/>
        <w:rPr>
          <w:rFonts w:hint="default" w:ascii="Times New Roman" w:hAnsi="Times New Roman" w:eastAsia="宋体" w:cs="Times New Roman"/>
          <w:bCs/>
          <w:color w:val="auto"/>
          <w:kern w:val="0"/>
          <w:sz w:val="24"/>
          <w:szCs w:val="24"/>
          <w:highlight w:val="none"/>
          <w:lang w:val="en-US" w:eastAsia="zh-CN" w:bidi="ar-SA"/>
        </w:rPr>
      </w:pPr>
      <w:r>
        <w:rPr>
          <w:rFonts w:hint="default" w:ascii="Times New Roman" w:hAnsi="Times New Roman" w:eastAsia="宋体" w:cs="Times New Roman"/>
          <w:bCs/>
          <w:color w:val="auto"/>
          <w:kern w:val="0"/>
          <w:sz w:val="24"/>
          <w:szCs w:val="24"/>
          <w:highlight w:val="none"/>
          <w:lang w:val="en-US" w:eastAsia="zh-CN" w:bidi="ar-SA"/>
        </w:rPr>
        <w:t>振荡热压真空烧结成型</w:t>
      </w:r>
      <w:r>
        <w:rPr>
          <w:rFonts w:hint="eastAsia" w:ascii="Times New Roman" w:hAnsi="Times New Roman" w:eastAsia="宋体" w:cs="Times New Roman"/>
          <w:bCs/>
          <w:color w:val="auto"/>
          <w:kern w:val="0"/>
          <w:sz w:val="24"/>
          <w:szCs w:val="24"/>
          <w:highlight w:val="none"/>
          <w:lang w:val="en-US" w:eastAsia="zh-CN" w:bidi="ar-SA"/>
        </w:rPr>
        <w:t>工艺</w:t>
      </w:r>
      <w:r>
        <w:rPr>
          <w:rFonts w:hint="default" w:ascii="Times New Roman" w:hAnsi="Times New Roman" w:eastAsia="宋体" w:cs="Times New Roman"/>
          <w:bCs/>
          <w:color w:val="auto"/>
          <w:kern w:val="0"/>
          <w:sz w:val="24"/>
          <w:szCs w:val="24"/>
          <w:highlight w:val="none"/>
          <w:lang w:val="en-US" w:eastAsia="zh-CN" w:bidi="ar-SA"/>
        </w:rPr>
        <w:t>具有明显的成本优势，在未来</w:t>
      </w:r>
      <w:r>
        <w:rPr>
          <w:rFonts w:hint="eastAsia" w:ascii="Times New Roman" w:hAnsi="Times New Roman" w:eastAsia="宋体" w:cs="Times New Roman"/>
          <w:bCs/>
          <w:color w:val="auto"/>
          <w:kern w:val="0"/>
          <w:sz w:val="24"/>
          <w:szCs w:val="24"/>
          <w:highlight w:val="none"/>
          <w:lang w:val="en-US" w:eastAsia="zh-CN" w:bidi="ar-SA"/>
        </w:rPr>
        <w:t>航空、航天、半导体</w:t>
      </w:r>
      <w:r>
        <w:rPr>
          <w:rFonts w:hint="default" w:ascii="Times New Roman" w:hAnsi="Times New Roman" w:eastAsia="宋体" w:cs="Times New Roman"/>
          <w:bCs/>
          <w:color w:val="auto"/>
          <w:kern w:val="0"/>
          <w:sz w:val="24"/>
          <w:szCs w:val="24"/>
          <w:highlight w:val="none"/>
          <w:lang w:val="en-US" w:eastAsia="zh-CN" w:bidi="ar-SA"/>
        </w:rPr>
        <w:t>领域将推广获得广阔的应用市场。急需将</w:t>
      </w:r>
      <w:r>
        <w:rPr>
          <w:rFonts w:hint="eastAsia" w:ascii="Times New Roman" w:hAnsi="Times New Roman" w:eastAsia="宋体" w:cs="Times New Roman"/>
          <w:bCs/>
          <w:color w:val="auto"/>
          <w:kern w:val="0"/>
          <w:sz w:val="24"/>
          <w:szCs w:val="24"/>
          <w:highlight w:val="none"/>
          <w:lang w:val="en-US" w:eastAsia="zh-CN" w:bidi="ar-SA"/>
        </w:rPr>
        <w:t>相关设备、工艺、产品等</w:t>
      </w:r>
      <w:r>
        <w:rPr>
          <w:rFonts w:hint="default" w:ascii="Times New Roman" w:hAnsi="Times New Roman" w:eastAsia="宋体" w:cs="Times New Roman"/>
          <w:bCs/>
          <w:color w:val="auto"/>
          <w:kern w:val="0"/>
          <w:sz w:val="24"/>
          <w:szCs w:val="24"/>
          <w:highlight w:val="none"/>
          <w:lang w:val="en-US" w:eastAsia="zh-CN" w:bidi="ar-SA"/>
        </w:rPr>
        <w:t>标准化，缩短</w:t>
      </w:r>
      <w:r>
        <w:rPr>
          <w:rFonts w:hint="eastAsia" w:ascii="Times New Roman" w:hAnsi="Times New Roman" w:eastAsia="宋体" w:cs="Times New Roman"/>
          <w:bCs/>
          <w:color w:val="auto"/>
          <w:kern w:val="0"/>
          <w:sz w:val="24"/>
          <w:szCs w:val="24"/>
          <w:highlight w:val="none"/>
          <w:lang w:val="en-US" w:eastAsia="zh-CN" w:bidi="ar-SA"/>
        </w:rPr>
        <w:t>高端装备</w:t>
      </w:r>
      <w:r>
        <w:rPr>
          <w:rFonts w:hint="default" w:ascii="Times New Roman" w:hAnsi="Times New Roman" w:eastAsia="宋体" w:cs="Times New Roman"/>
          <w:bCs/>
          <w:color w:val="auto"/>
          <w:kern w:val="0"/>
          <w:sz w:val="24"/>
          <w:szCs w:val="24"/>
          <w:highlight w:val="none"/>
          <w:lang w:val="en-US" w:eastAsia="zh-CN" w:bidi="ar-SA"/>
        </w:rPr>
        <w:t>制备技术与国外先进水平的差距，</w:t>
      </w:r>
      <w:r>
        <w:rPr>
          <w:rFonts w:hint="eastAsia" w:ascii="Times New Roman" w:hAnsi="Times New Roman" w:eastAsia="宋体" w:cs="Times New Roman"/>
          <w:bCs/>
          <w:color w:val="auto"/>
          <w:kern w:val="0"/>
          <w:sz w:val="24"/>
          <w:szCs w:val="24"/>
          <w:highlight w:val="none"/>
          <w:lang w:val="en-US" w:eastAsia="zh-CN" w:bidi="ar-SA"/>
        </w:rPr>
        <w:t>解决“卡脖子”问题</w:t>
      </w:r>
      <w:r>
        <w:rPr>
          <w:rFonts w:hint="default" w:ascii="Times New Roman" w:hAnsi="Times New Roman" w:eastAsia="宋体" w:cs="Times New Roman"/>
          <w:bCs/>
          <w:color w:val="auto"/>
          <w:kern w:val="0"/>
          <w:sz w:val="24"/>
          <w:szCs w:val="24"/>
          <w:highlight w:val="none"/>
          <w:lang w:val="en-US" w:eastAsia="zh-CN" w:bidi="ar-SA"/>
        </w:rPr>
        <w:t>，进而支撑</w:t>
      </w:r>
      <w:r>
        <w:rPr>
          <w:rFonts w:hint="eastAsia" w:ascii="Times New Roman" w:hAnsi="Times New Roman" w:eastAsia="宋体" w:cs="Times New Roman"/>
          <w:bCs/>
          <w:color w:val="auto"/>
          <w:kern w:val="0"/>
          <w:sz w:val="24"/>
          <w:szCs w:val="24"/>
          <w:highlight w:val="none"/>
          <w:lang w:val="en-US" w:eastAsia="zh-CN" w:bidi="ar-SA"/>
        </w:rPr>
        <w:t>新兴产业</w:t>
      </w:r>
      <w:r>
        <w:rPr>
          <w:rFonts w:hint="default" w:ascii="Times New Roman" w:hAnsi="Times New Roman" w:eastAsia="宋体" w:cs="Times New Roman"/>
          <w:bCs/>
          <w:color w:val="auto"/>
          <w:kern w:val="0"/>
          <w:sz w:val="24"/>
          <w:szCs w:val="24"/>
          <w:highlight w:val="none"/>
          <w:lang w:val="en-US" w:eastAsia="zh-CN" w:bidi="ar-SA"/>
        </w:rPr>
        <w:t>的高质量发展。</w:t>
      </w:r>
    </w:p>
    <w:p>
      <w:pPr>
        <w:pStyle w:val="14"/>
        <w:keepNext w:val="0"/>
        <w:keepLines w:val="0"/>
        <w:pageBreakBefore w:val="0"/>
        <w:numPr>
          <w:ilvl w:val="0"/>
          <w:numId w:val="0"/>
        </w:numPr>
        <w:wordWrap/>
        <w:overflowPunct/>
        <w:topLinePunct w:val="0"/>
        <w:bidi w:val="0"/>
        <w:spacing w:line="360" w:lineRule="auto"/>
        <w:ind w:firstLine="480" w:firstLineChars="200"/>
        <w:rPr>
          <w:rFonts w:hint="default" w:ascii="Times New Roman" w:hAnsi="Times New Roman" w:eastAsia="宋体" w:cs="Times New Roman"/>
          <w:sz w:val="24"/>
          <w:szCs w:val="24"/>
          <w:highlight w:val="none"/>
          <w:shd w:val="clear" w:color="auto" w:fill="FFFFFF"/>
          <w:lang w:val="en-US" w:eastAsia="zh-CN"/>
        </w:rPr>
      </w:pPr>
      <w:r>
        <w:rPr>
          <w:rFonts w:hint="default" w:ascii="Times New Roman" w:hAnsi="Times New Roman" w:eastAsia="宋体" w:cs="Times New Roman"/>
          <w:sz w:val="24"/>
          <w:szCs w:val="24"/>
          <w:highlight w:val="none"/>
        </w:rPr>
        <w:t>本文件是全新制定的标准，在国内</w:t>
      </w:r>
      <w:r>
        <w:rPr>
          <w:rFonts w:hint="eastAsia" w:ascii="Times New Roman" w:cs="Times New Roman"/>
          <w:sz w:val="24"/>
          <w:szCs w:val="24"/>
          <w:highlight w:val="none"/>
          <w:lang w:val="en-US" w:eastAsia="zh-CN"/>
        </w:rPr>
        <w:t>以及国际</w:t>
      </w:r>
      <w:r>
        <w:rPr>
          <w:rFonts w:hint="default" w:ascii="Times New Roman" w:hAnsi="Times New Roman" w:eastAsia="宋体" w:cs="Times New Roman"/>
          <w:sz w:val="24"/>
          <w:szCs w:val="24"/>
          <w:highlight w:val="none"/>
        </w:rPr>
        <w:t>属于第一份</w:t>
      </w:r>
      <w:r>
        <w:rPr>
          <w:rFonts w:hint="eastAsia" w:ascii="Times New Roman" w:cs="Times New Roman"/>
          <w:color w:val="auto"/>
          <w:sz w:val="24"/>
          <w:szCs w:val="24"/>
          <w:highlight w:val="none"/>
          <w:lang w:eastAsia="zh-CN"/>
        </w:rPr>
        <w:t>振荡热压真空烧结炉</w:t>
      </w:r>
      <w:r>
        <w:rPr>
          <w:rFonts w:hint="default" w:ascii="Times New Roman" w:hAnsi="Times New Roman" w:eastAsia="宋体" w:cs="Times New Roman"/>
          <w:sz w:val="24"/>
          <w:szCs w:val="24"/>
          <w:highlight w:val="none"/>
          <w:lang w:val="en-US" w:eastAsia="zh-CN"/>
        </w:rPr>
        <w:t>团体标准。</w:t>
      </w:r>
    </w:p>
    <w:p>
      <w:pPr>
        <w:keepNext w:val="0"/>
        <w:keepLines w:val="0"/>
        <w:pageBreakBefore w:val="0"/>
        <w:wordWrap/>
        <w:overflowPunct/>
        <w:topLinePunct w:val="0"/>
        <w:bidi w:val="0"/>
        <w:spacing w:line="360" w:lineRule="auto"/>
        <w:ind w:firstLine="470" w:firstLineChars="196"/>
        <w:rPr>
          <w:rFonts w:hint="default" w:ascii="黑体" w:hAnsi="黑体" w:eastAsia="黑体" w:cs="黑体"/>
          <w:b w:val="0"/>
          <w:bCs w:val="0"/>
          <w:color w:val="auto"/>
          <w:sz w:val="24"/>
          <w:szCs w:val="24"/>
          <w:highlight w:val="none"/>
        </w:rPr>
      </w:pPr>
      <w:r>
        <w:rPr>
          <w:rFonts w:hint="default" w:ascii="黑体" w:hAnsi="黑体" w:eastAsia="黑体" w:cs="黑体"/>
          <w:b w:val="0"/>
          <w:bCs w:val="0"/>
          <w:color w:val="auto"/>
          <w:sz w:val="24"/>
          <w:szCs w:val="24"/>
          <w:highlight w:val="none"/>
        </w:rPr>
        <w:t>三、主要试验（或验证）情况分析</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0"/>
        <w:gridCol w:w="2673"/>
        <w:gridCol w:w="1515"/>
        <w:gridCol w:w="2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检验类型</w:t>
            </w:r>
          </w:p>
        </w:tc>
        <w:tc>
          <w:tcPr>
            <w:tcW w:w="69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default" w:ascii="Times New Roman" w:hAnsi="Times New Roman" w:cs="Times New Roman"/>
                <w:b w:val="0"/>
                <w:bCs w:val="0"/>
                <w:color w:val="auto"/>
                <w:sz w:val="24"/>
                <w:szCs w:val="24"/>
                <w:highlight w:val="none"/>
              </w:rPr>
              <w:t>□</w:t>
            </w:r>
            <w:r>
              <w:rPr>
                <w:rFonts w:hint="eastAsia"/>
                <w:color w:val="auto"/>
                <w:sz w:val="24"/>
                <w:szCs w:val="24"/>
                <w:highlight w:val="none"/>
                <w:lang w:eastAsia="zh-CN"/>
              </w:rPr>
              <w:t>出厂检验</w:t>
            </w:r>
            <w:r>
              <w:rPr>
                <w:rFonts w:hint="eastAsia"/>
                <w:color w:val="auto"/>
                <w:sz w:val="24"/>
                <w:szCs w:val="24"/>
                <w:highlight w:val="none"/>
                <w:lang w:val="en-US" w:eastAsia="zh-CN"/>
              </w:rPr>
              <w:t xml:space="preserve">     </w:t>
            </w:r>
            <w:r>
              <w:rPr>
                <w:rFonts w:hint="eastAsia" w:ascii="Times New Roman" w:hAnsi="Times New Roman" w:cs="Times New Roman"/>
                <w:b w:val="0"/>
                <w:bCs w:val="0"/>
                <w:color w:val="auto"/>
                <w:sz w:val="24"/>
                <w:szCs w:val="24"/>
                <w:highlight w:val="none"/>
                <w:lang w:eastAsia="zh-CN"/>
              </w:rPr>
              <w:t>☑型式检验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检验依据</w:t>
            </w:r>
          </w:p>
        </w:tc>
        <w:tc>
          <w:tcPr>
            <w:tcW w:w="69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Q/WRXC 001-2023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产品名称</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振荡热压真空烧结炉</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规格型号</w:t>
            </w:r>
          </w:p>
        </w:tc>
        <w:tc>
          <w:tcPr>
            <w:tcW w:w="279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ZRL2000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出厂编号</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12345678</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生产日期</w:t>
            </w:r>
          </w:p>
        </w:tc>
        <w:tc>
          <w:tcPr>
            <w:tcW w:w="279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2023.3.15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数量（台</w:t>
            </w:r>
            <w:r>
              <w:rPr>
                <w:rFonts w:hint="eastAsia"/>
                <w:color w:val="auto"/>
                <w:sz w:val="24"/>
                <w:szCs w:val="24"/>
                <w:highlight w:val="none"/>
                <w:vertAlign w:val="baseline"/>
                <w:lang w:val="en-US" w:eastAsia="zh-CN"/>
              </w:rPr>
              <w:t>/</w:t>
            </w:r>
            <w:r>
              <w:rPr>
                <w:rFonts w:hint="eastAsia"/>
                <w:color w:val="auto"/>
                <w:sz w:val="24"/>
                <w:szCs w:val="24"/>
                <w:highlight w:val="none"/>
                <w:vertAlign w:val="baseline"/>
                <w:lang w:eastAsia="zh-CN"/>
              </w:rPr>
              <w:t>套）</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1套</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val="en-US" w:eastAsia="zh-CN"/>
              </w:rPr>
              <w:t>*</w:t>
            </w:r>
            <w:r>
              <w:rPr>
                <w:rFonts w:hint="eastAsia"/>
                <w:color w:val="auto"/>
                <w:sz w:val="24"/>
                <w:szCs w:val="24"/>
                <w:highlight w:val="none"/>
                <w:vertAlign w:val="baseline"/>
                <w:lang w:eastAsia="zh-CN"/>
              </w:rPr>
              <w:t>抽检数量（台</w:t>
            </w:r>
            <w:r>
              <w:rPr>
                <w:rFonts w:hint="eastAsia"/>
                <w:color w:val="auto"/>
                <w:sz w:val="24"/>
                <w:szCs w:val="24"/>
                <w:highlight w:val="none"/>
                <w:vertAlign w:val="baseline"/>
                <w:lang w:val="en-US" w:eastAsia="zh-CN"/>
              </w:rPr>
              <w:t>/</w:t>
            </w:r>
            <w:r>
              <w:rPr>
                <w:rFonts w:hint="eastAsia"/>
                <w:color w:val="auto"/>
                <w:sz w:val="24"/>
                <w:szCs w:val="24"/>
                <w:highlight w:val="none"/>
                <w:vertAlign w:val="baseline"/>
                <w:lang w:eastAsia="zh-CN"/>
              </w:rPr>
              <w:t>套）</w:t>
            </w:r>
          </w:p>
        </w:tc>
        <w:tc>
          <w:tcPr>
            <w:tcW w:w="279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val="en-US" w:eastAsia="zh-CN"/>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序号</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检验项目</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检验情况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1</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外观尺寸</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1.1</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涂漆</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1.2</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default"/>
                <w:color w:val="auto"/>
                <w:sz w:val="24"/>
                <w:szCs w:val="24"/>
                <w:highlight w:val="none"/>
                <w:vertAlign w:val="baseline"/>
                <w:lang w:eastAsia="zh-CN"/>
              </w:rPr>
              <w:t>工作</w:t>
            </w:r>
            <w:r>
              <w:rPr>
                <w:rFonts w:hint="eastAsia"/>
                <w:color w:val="auto"/>
                <w:sz w:val="24"/>
                <w:szCs w:val="24"/>
                <w:highlight w:val="none"/>
                <w:vertAlign w:val="baseline"/>
                <w:lang w:eastAsia="zh-CN"/>
              </w:rPr>
              <w:t>区域尺寸</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（直径</w:t>
            </w:r>
            <w:r>
              <w:rPr>
                <w:rFonts w:hint="eastAsia"/>
                <w:color w:val="auto"/>
                <w:sz w:val="24"/>
                <w:szCs w:val="24"/>
                <w:highlight w:val="none"/>
                <w:vertAlign w:val="baseline"/>
                <w:lang w:val="en-US" w:eastAsia="zh-CN"/>
              </w:rPr>
              <w:t>×高度</w:t>
            </w:r>
            <w:r>
              <w:rPr>
                <w:rFonts w:hint="eastAsia"/>
                <w:color w:val="auto"/>
                <w:sz w:val="24"/>
                <w:szCs w:val="24"/>
                <w:highlight w:val="none"/>
                <w:vertAlign w:val="baseline"/>
                <w:lang w:eastAsia="zh-CN"/>
              </w:rPr>
              <w:t>）</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default" w:ascii="Times New Roman" w:hAnsi="Times New Roman" w:cs="Times New Roman"/>
                <w:color w:val="auto"/>
                <w:sz w:val="24"/>
                <w:szCs w:val="24"/>
                <w:highlight w:val="none"/>
              </w:rPr>
              <w:t>300（</w:t>
            </w:r>
            <w:r>
              <w:rPr>
                <w:rFonts w:hint="default" w:ascii="Times New Roman" w:hAnsi="Times New Roman" w:cs="Times New Roman"/>
                <w:i/>
                <w:iCs/>
                <w:color w:val="auto"/>
                <w:sz w:val="24"/>
                <w:szCs w:val="24"/>
                <w:highlight w:val="none"/>
              </w:rPr>
              <w:t>Φ</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cs="Times New Roman"/>
                <w:color w:val="auto"/>
                <w:sz w:val="24"/>
                <w:szCs w:val="24"/>
                <w:highlight w:val="none"/>
              </w:rPr>
              <w:t>300（</w:t>
            </w:r>
            <w:r>
              <w:rPr>
                <w:rFonts w:hint="default" w:ascii="Times New Roman" w:hAnsi="Times New Roman" w:cs="Times New Roman"/>
                <w:i/>
                <w:iCs/>
                <w:color w:val="auto"/>
                <w:sz w:val="24"/>
                <w:szCs w:val="24"/>
                <w:highlight w:val="none"/>
              </w:rPr>
              <w:t>H</w:t>
            </w:r>
            <w:r>
              <w:rPr>
                <w:rFonts w:hint="default" w:ascii="Times New Roman" w:hAnsi="Times New Roman" w:cs="Times New Roman"/>
                <w:color w:val="auto"/>
                <w:sz w:val="24"/>
                <w:szCs w:val="24"/>
                <w:highlight w:val="none"/>
              </w:rPr>
              <w:t>）</w:t>
            </w:r>
            <w:r>
              <w:rPr>
                <w:rFonts w:hint="eastAsia"/>
                <w:color w:val="auto"/>
                <w:sz w:val="24"/>
                <w:szCs w:val="24"/>
                <w:highlight w:val="none"/>
                <w:vertAlign w:val="baseline"/>
                <w:lang w:val="en-US" w:eastAsia="zh-CN"/>
              </w:rPr>
              <w:t xml:space="preserve"> </w:t>
            </w:r>
            <w:r>
              <w:rPr>
                <w:rFonts w:hint="default"/>
                <w:color w:val="auto"/>
                <w:sz w:val="24"/>
                <w:szCs w:val="24"/>
                <w:highlight w:val="none"/>
                <w:vertAlign w:val="baseline"/>
                <w:lang w:val="en-US" w:eastAsia="zh-CN"/>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1.3</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真空炉炉衬</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cs="Times New Roman" w:eastAsiaTheme="minorEastAsia"/>
                <w:color w:val="auto"/>
                <w:sz w:val="24"/>
                <w:szCs w:val="24"/>
                <w:highlight w:val="none"/>
                <w:lang w:eastAsia="zh-CN"/>
              </w:rPr>
            </w:pPr>
            <w:r>
              <w:rPr>
                <w:rFonts w:hint="eastAsia" w:ascii="Times New Roman" w:hAnsi="Times New Roman" w:cs="Times New Roman"/>
                <w:color w:val="auto"/>
                <w:sz w:val="24"/>
                <w:szCs w:val="24"/>
                <w:highlight w:val="none"/>
                <w:lang w:eastAsia="zh-CN"/>
              </w:rPr>
              <w:t>无破裂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1.4</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螺丝等紧固件</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1.5</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设备表面质量</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1.6</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铭牌</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2</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电路</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2.1</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Theme="minor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真空炉加热电路</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val="en-US" w:eastAsia="zh-CN"/>
              </w:rPr>
              <w:t>50Hz、三相四线380V交流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2.2</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额定加热功率</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130</w:t>
            </w:r>
            <w:r>
              <w:rPr>
                <w:rFonts w:hint="default" w:ascii="Times New Roman" w:hAnsi="Times New Roman" w:cs="Times New Roman"/>
                <w:color w:val="auto"/>
                <w:sz w:val="24"/>
                <w:szCs w:val="24"/>
                <w:highlight w:val="none"/>
              </w:rPr>
              <w:t xml:space="preserve"> 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HAnsi" w:hAnsiTheme="minorHAnsi" w:eastAsiaTheme="minorEastAsia" w:cstheme="minorBidi"/>
                <w:color w:val="auto"/>
                <w:kern w:val="2"/>
                <w:sz w:val="24"/>
                <w:szCs w:val="24"/>
                <w:highlight w:val="none"/>
                <w:vertAlign w:val="baseline"/>
                <w:lang w:val="en-US" w:eastAsia="zh-CN" w:bidi="ar-SA"/>
              </w:rPr>
            </w:pPr>
            <w:r>
              <w:rPr>
                <w:rFonts w:hint="eastAsia"/>
                <w:color w:val="auto"/>
                <w:sz w:val="24"/>
                <w:szCs w:val="24"/>
                <w:highlight w:val="none"/>
                <w:vertAlign w:val="baseline"/>
                <w:lang w:val="en-US" w:eastAsia="zh-CN"/>
              </w:rPr>
              <w:t>2.3</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HAnsi" w:hAnsiTheme="minorHAnsi" w:eastAsiaTheme="minorEastAsia" w:cstheme="minorBidi"/>
                <w:color w:val="auto"/>
                <w:kern w:val="2"/>
                <w:sz w:val="24"/>
                <w:szCs w:val="24"/>
                <w:highlight w:val="none"/>
                <w:vertAlign w:val="baseline"/>
                <w:lang w:val="en-US" w:eastAsia="zh-CN" w:bidi="ar-SA"/>
              </w:rPr>
            </w:pPr>
            <w:r>
              <w:rPr>
                <w:rFonts w:hint="eastAsia"/>
                <w:color w:val="auto"/>
                <w:sz w:val="24"/>
                <w:szCs w:val="24"/>
                <w:highlight w:val="none"/>
                <w:vertAlign w:val="baseline"/>
                <w:lang w:eastAsia="zh-CN"/>
              </w:rPr>
              <w:t>控制系统电路</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val="en-US" w:eastAsia="zh-CN"/>
              </w:rPr>
              <w:t>220V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3</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仪表</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color w:val="auto"/>
                <w:sz w:val="24"/>
                <w:szCs w:val="24"/>
                <w:highlight w:val="none"/>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3.1</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温度仪表</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3.2</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液压系统仪表</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3.3</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真空系统仪表</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3.4</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循环水机仪表</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4</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主要参数</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color w:val="auto"/>
                <w:sz w:val="24"/>
                <w:szCs w:val="24"/>
                <w:highlight w:val="none"/>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4.1</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最大静态载荷</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Theme="minor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2020kN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4.2</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振荡载荷</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Theme="minor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0.1Hz下最大1000kN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4.3</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振荡频率</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default"/>
                <w:color w:val="auto"/>
                <w:sz w:val="24"/>
                <w:szCs w:val="24"/>
                <w:highlight w:val="none"/>
                <w:vertAlign w:val="baseline"/>
                <w:lang w:val="en-US" w:eastAsia="zh-CN"/>
              </w:rPr>
              <w:t>0 ～ 5H</w:t>
            </w:r>
            <w:r>
              <w:rPr>
                <w:rFonts w:hint="eastAsia"/>
                <w:color w:val="auto"/>
                <w:sz w:val="24"/>
                <w:szCs w:val="24"/>
                <w:highlight w:val="none"/>
                <w:vertAlign w:val="baseline"/>
                <w:lang w:val="en-US" w:eastAsia="zh-CN"/>
              </w:rPr>
              <w:t>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4.4</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最高温度</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Theme="minorEastAsia"/>
                <w:color w:val="auto"/>
                <w:sz w:val="24"/>
                <w:szCs w:val="24"/>
                <w:highlight w:val="none"/>
                <w:vertAlign w:val="baseline"/>
                <w:lang w:val="en-US" w:eastAsia="zh-CN"/>
              </w:rPr>
            </w:pPr>
            <w:r>
              <w:rPr>
                <w:rFonts w:hint="default" w:ascii="Times New Roman" w:hAnsi="Times New Roman" w:cs="Times New Roman"/>
                <w:color w:val="auto"/>
                <w:kern w:val="0"/>
                <w:sz w:val="24"/>
                <w:szCs w:val="24"/>
                <w:highlight w:val="none"/>
              </w:rPr>
              <w:t>200</w:t>
            </w:r>
            <w:r>
              <w:rPr>
                <w:rFonts w:hint="eastAsia" w:ascii="Times New Roman" w:hAnsi="Times New Roman" w:cs="Times New Roman"/>
                <w:color w:val="auto"/>
                <w:kern w:val="0"/>
                <w:sz w:val="24"/>
                <w:szCs w:val="24"/>
                <w:highlight w:val="none"/>
                <w:lang w:val="en-US" w:eastAsia="zh-CN"/>
              </w:rPr>
              <w:t>1</w:t>
            </w:r>
            <w:r>
              <w:rPr>
                <w:rFonts w:hint="default" w:ascii="Times New Roman" w:hAnsi="Times New Roman" w:cs="Times New Roman"/>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4.5</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工作温度</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ascii="Times New Roman" w:cs="Times New Roman"/>
                <w:color w:val="auto"/>
                <w:kern w:val="0"/>
                <w:sz w:val="24"/>
                <w:szCs w:val="24"/>
                <w:highlight w:val="none"/>
                <w:lang w:val="en-US" w:eastAsia="zh-CN"/>
              </w:rPr>
              <w:t xml:space="preserve">室温 </w:t>
            </w:r>
            <w:r>
              <w:rPr>
                <w:rFonts w:hint="default" w:ascii="Times New Roman" w:hAnsi="Times New Roman" w:cs="Times New Roman"/>
                <w:color w:val="auto"/>
                <w:kern w:val="0"/>
                <w:sz w:val="24"/>
                <w:szCs w:val="24"/>
                <w:highlight w:val="none"/>
              </w:rPr>
              <w:t>～ 2000</w:t>
            </w:r>
            <w:r>
              <w:rPr>
                <w:rFonts w:hint="default" w:ascii="Times New Roman" w:hAnsi="Times New Roman" w:cs="Times New Roman"/>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4.6</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炉温均匀性</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default" w:ascii="Times New Roman" w:hAnsi="Times New Roman" w:cs="Times New Roman"/>
                <w:color w:val="auto"/>
                <w:sz w:val="24"/>
                <w:szCs w:val="24"/>
                <w:highlight w:val="none"/>
              </w:rPr>
              <w:t>300（</w:t>
            </w:r>
            <w:r>
              <w:rPr>
                <w:rFonts w:hint="default" w:ascii="Times New Roman" w:hAnsi="Times New Roman" w:cs="Times New Roman"/>
                <w:i/>
                <w:iCs/>
                <w:color w:val="auto"/>
                <w:sz w:val="24"/>
                <w:szCs w:val="24"/>
                <w:highlight w:val="none"/>
              </w:rPr>
              <w:t>Φ</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cs="Times New Roman"/>
                <w:color w:val="auto"/>
                <w:sz w:val="24"/>
                <w:szCs w:val="24"/>
                <w:highlight w:val="none"/>
              </w:rPr>
              <w:t>300（</w:t>
            </w:r>
            <w:r>
              <w:rPr>
                <w:rFonts w:hint="default" w:ascii="Times New Roman" w:hAnsi="Times New Roman" w:cs="Times New Roman"/>
                <w:i/>
                <w:iCs/>
                <w:color w:val="auto"/>
                <w:sz w:val="24"/>
                <w:szCs w:val="24"/>
                <w:highlight w:val="none"/>
              </w:rPr>
              <w:t>H</w:t>
            </w:r>
            <w:r>
              <w:rPr>
                <w:rFonts w:hint="default" w:ascii="Times New Roman" w:hAnsi="Times New Roman" w:cs="Times New Roman"/>
                <w:color w:val="auto"/>
                <w:sz w:val="24"/>
                <w:szCs w:val="24"/>
                <w:highlight w:val="none"/>
              </w:rPr>
              <w:t>）</w:t>
            </w:r>
            <w:r>
              <w:rPr>
                <w:rFonts w:hint="eastAsia" w:ascii="Times New Roman" w:hAnsi="Times New Roman" w:cs="Times New Roman"/>
                <w:color w:val="auto"/>
                <w:kern w:val="0"/>
                <w:sz w:val="24"/>
                <w:szCs w:val="24"/>
                <w:highlight w:val="none"/>
                <w:lang w:eastAsia="zh-CN"/>
              </w:rPr>
              <w:t>九点法，≤</w:t>
            </w:r>
            <w:r>
              <w:rPr>
                <w:rFonts w:hint="default" w:ascii="Times New Roman" w:hAnsi="Times New Roman" w:cs="Times New Roman"/>
                <w:color w:val="auto"/>
                <w:kern w:val="0"/>
                <w:sz w:val="24"/>
                <w:szCs w:val="24"/>
                <w:highlight w:val="none"/>
              </w:rPr>
              <w:t>± 5</w:t>
            </w:r>
            <w:r>
              <w:rPr>
                <w:rFonts w:hint="default" w:ascii="Times New Roman" w:hAnsi="Times New Roman" w:cs="Times New Roman"/>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4.7</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空炉升温速率</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default" w:ascii="Times New Roman" w:hAnsi="Times New Roman" w:cs="Times New Roman"/>
                <w:color w:val="auto"/>
                <w:kern w:val="0"/>
                <w:sz w:val="24"/>
                <w:szCs w:val="24"/>
                <w:highlight w:val="none"/>
              </w:rPr>
              <w:t>0 ～ 25</w:t>
            </w:r>
            <w:r>
              <w:rPr>
                <w:rFonts w:hint="default" w:ascii="Times New Roman" w:hAnsi="Times New Roman" w:cs="Times New Roman"/>
                <w:color w:val="auto"/>
                <w:sz w:val="24"/>
                <w:szCs w:val="24"/>
                <w:highlight w:val="none"/>
              </w:rPr>
              <w:t>℃/min</w:t>
            </w:r>
            <w:r>
              <w:rPr>
                <w:rFonts w:hint="default" w:ascii="Times New Roman" w:hAnsi="Times New Roman" w:cs="Times New Roman"/>
                <w:color w:val="auto"/>
                <w:sz w:val="24"/>
                <w:szCs w:val="24"/>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4.8</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控温精度</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default" w:ascii="Times New Roman" w:hAnsi="Times New Roman" w:cs="Times New Roman"/>
                <w:color w:val="auto"/>
                <w:kern w:val="0"/>
                <w:sz w:val="24"/>
                <w:szCs w:val="24"/>
                <w:highlight w:val="none"/>
              </w:rPr>
              <w:t>± 1</w:t>
            </w:r>
            <w:r>
              <w:rPr>
                <w:rFonts w:hint="default" w:ascii="Times New Roman" w:hAnsi="Times New Roman" w:cs="Times New Roman"/>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4.9</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val="en-US" w:eastAsia="zh-CN"/>
              </w:rPr>
              <w:t>动</w:t>
            </w:r>
            <w:r>
              <w:rPr>
                <w:rFonts w:hint="default"/>
                <w:color w:val="auto"/>
                <w:sz w:val="24"/>
                <w:szCs w:val="24"/>
                <w:highlight w:val="none"/>
                <w:vertAlign w:val="baseline"/>
                <w:lang w:eastAsia="zh-CN"/>
              </w:rPr>
              <w:t>态极限真空度</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ascii="Times New Roman" w:hAnsi="Times New Roman" w:cs="Times New Roman"/>
                <w:color w:val="auto"/>
                <w:kern w:val="0"/>
                <w:sz w:val="24"/>
                <w:szCs w:val="24"/>
                <w:highlight w:val="none"/>
                <w:lang w:val="en-US" w:eastAsia="zh-CN"/>
              </w:rPr>
              <w:t>1</w:t>
            </w:r>
            <w:r>
              <w:rPr>
                <w:rFonts w:hint="eastAsia" w:cs="Times New Roman"/>
                <w:color w:val="auto"/>
                <w:sz w:val="24"/>
                <w:szCs w:val="24"/>
                <w:highlight w:val="none"/>
                <w:lang w:val="en-US" w:eastAsia="zh-CN"/>
              </w:rPr>
              <w:t>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4.10</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空炉</w:t>
            </w:r>
            <w:r>
              <w:rPr>
                <w:rFonts w:hint="default"/>
                <w:color w:val="auto"/>
                <w:sz w:val="24"/>
                <w:szCs w:val="24"/>
                <w:highlight w:val="none"/>
                <w:vertAlign w:val="baseline"/>
                <w:lang w:eastAsia="zh-CN"/>
              </w:rPr>
              <w:t>抽气时间</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Theme="minor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30min到1Pa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4.11</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default"/>
                <w:color w:val="auto"/>
                <w:sz w:val="24"/>
                <w:szCs w:val="24"/>
                <w:highlight w:val="none"/>
                <w:vertAlign w:val="baseline"/>
                <w:lang w:eastAsia="zh-CN"/>
              </w:rPr>
              <w:t>压升率</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1</w:t>
            </w:r>
            <w:r>
              <w:rPr>
                <w:rFonts w:hint="eastAsia" w:cs="Times New Roman"/>
                <w:color w:val="auto"/>
                <w:sz w:val="24"/>
                <w:szCs w:val="24"/>
                <w:highlight w:val="none"/>
                <w:lang w:val="en-US" w:eastAsia="zh-CN"/>
              </w:rPr>
              <w:t>Pa/h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5</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附件</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color w:val="auto"/>
                <w:sz w:val="24"/>
                <w:szCs w:val="24"/>
                <w:highlight w:val="none"/>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5.1</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循环水冷系统</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5.2</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液压系统</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5.3</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真空泵</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5.4</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加热电源</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5.5</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电气控制柜</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5.6</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其他</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6</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技术文件</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color w:val="auto"/>
                <w:sz w:val="24"/>
                <w:szCs w:val="24"/>
                <w:highlight w:val="none"/>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6.1</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设备电路图</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6.2</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产品说明书</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6.3</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设备清单</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6.4</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出厂合格证</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6.5</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其他文件</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*7</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val="en-US" w:eastAsia="zh-CN"/>
              </w:rPr>
              <w:t>*</w:t>
            </w:r>
            <w:r>
              <w:rPr>
                <w:rFonts w:hint="eastAsia"/>
                <w:color w:val="auto"/>
                <w:sz w:val="24"/>
                <w:szCs w:val="24"/>
                <w:highlight w:val="none"/>
                <w:vertAlign w:val="baseline"/>
                <w:lang w:eastAsia="zh-CN"/>
              </w:rPr>
              <w:t>安全防护检查</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color w:val="auto"/>
                <w:sz w:val="24"/>
                <w:szCs w:val="24"/>
                <w:highlight w:val="none"/>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7.1</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吊装检查</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7.2</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电气设备检查</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7.3</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eastAsia="zh-CN"/>
              </w:rPr>
            </w:pPr>
            <w:r>
              <w:rPr>
                <w:rFonts w:hint="eastAsia"/>
                <w:color w:val="auto"/>
                <w:sz w:val="24"/>
                <w:szCs w:val="24"/>
                <w:highlight w:val="none"/>
                <w:vertAlign w:val="baseline"/>
                <w:lang w:eastAsia="zh-CN"/>
              </w:rPr>
              <w:t>触电防护</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7.4</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HAnsi" w:hAnsiTheme="minorHAnsi" w:eastAsiaTheme="minorEastAsia" w:cstheme="minorBidi"/>
                <w:color w:val="auto"/>
                <w:kern w:val="2"/>
                <w:sz w:val="24"/>
                <w:szCs w:val="24"/>
                <w:highlight w:val="none"/>
                <w:vertAlign w:val="baseline"/>
                <w:lang w:val="en-US" w:eastAsia="zh-CN" w:bidi="ar-SA"/>
              </w:rPr>
            </w:pPr>
            <w:r>
              <w:rPr>
                <w:rFonts w:hint="eastAsia"/>
                <w:color w:val="auto"/>
                <w:sz w:val="24"/>
                <w:szCs w:val="24"/>
                <w:highlight w:val="none"/>
                <w:vertAlign w:val="baseline"/>
                <w:lang w:eastAsia="zh-CN"/>
              </w:rPr>
              <w:t>隔离和开合</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7.5</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HAnsi" w:hAnsiTheme="minorHAnsi" w:eastAsiaTheme="minorEastAsia" w:cstheme="minorBidi"/>
                <w:color w:val="auto"/>
                <w:kern w:val="2"/>
                <w:sz w:val="24"/>
                <w:szCs w:val="24"/>
                <w:highlight w:val="none"/>
                <w:vertAlign w:val="baseline"/>
                <w:lang w:val="en-US" w:eastAsia="zh-CN" w:bidi="ar-SA"/>
              </w:rPr>
            </w:pPr>
            <w:r>
              <w:rPr>
                <w:rFonts w:hint="eastAsia"/>
                <w:color w:val="auto"/>
                <w:sz w:val="24"/>
                <w:szCs w:val="24"/>
                <w:highlight w:val="none"/>
                <w:vertAlign w:val="baseline"/>
                <w:lang w:eastAsia="zh-CN"/>
              </w:rPr>
              <w:t>安全防护移动部件的传感器和致动器</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7.6</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HAnsi" w:hAnsiTheme="minorHAnsi" w:eastAsiaTheme="minorEastAsia" w:cstheme="minorBidi"/>
                <w:color w:val="auto"/>
                <w:kern w:val="2"/>
                <w:sz w:val="24"/>
                <w:szCs w:val="24"/>
                <w:highlight w:val="none"/>
                <w:vertAlign w:val="baseline"/>
                <w:lang w:val="en-US" w:eastAsia="zh-CN" w:bidi="ar-SA"/>
              </w:rPr>
            </w:pPr>
            <w:r>
              <w:rPr>
                <w:rFonts w:hint="eastAsia" w:cstheme="minorBidi"/>
                <w:color w:val="auto"/>
                <w:kern w:val="2"/>
                <w:sz w:val="24"/>
                <w:szCs w:val="24"/>
                <w:highlight w:val="none"/>
                <w:vertAlign w:val="baseline"/>
                <w:lang w:val="en-US" w:eastAsia="zh-CN" w:bidi="ar-SA"/>
              </w:rPr>
              <w:t>装置或设备的控制</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7.7</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HAnsi" w:hAnsiTheme="minorHAnsi" w:eastAsiaTheme="minorEastAsia" w:cstheme="minorBidi"/>
                <w:color w:val="auto"/>
                <w:kern w:val="2"/>
                <w:sz w:val="24"/>
                <w:szCs w:val="24"/>
                <w:highlight w:val="none"/>
                <w:vertAlign w:val="baseline"/>
                <w:lang w:val="en-US" w:eastAsia="zh-CN" w:bidi="ar-SA"/>
              </w:rPr>
            </w:pPr>
            <w:r>
              <w:rPr>
                <w:rFonts w:hint="eastAsia"/>
                <w:color w:val="auto"/>
                <w:sz w:val="24"/>
                <w:szCs w:val="24"/>
                <w:highlight w:val="none"/>
                <w:vertAlign w:val="baseline"/>
                <w:lang w:eastAsia="zh-CN"/>
              </w:rPr>
              <w:t>设备急停开关</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olor w:val="auto"/>
                <w:sz w:val="24"/>
                <w:szCs w:val="24"/>
                <w:highlight w:val="none"/>
                <w:vertAlign w:val="baseline"/>
                <w:lang w:val="en-US" w:eastAsia="zh-CN"/>
              </w:rPr>
            </w:pPr>
            <w:r>
              <w:rPr>
                <w:rFonts w:hint="eastAsia"/>
                <w:color w:val="auto"/>
                <w:sz w:val="24"/>
                <w:szCs w:val="24"/>
                <w:highlight w:val="none"/>
                <w:vertAlign w:val="baseline"/>
                <w:lang w:val="en-US" w:eastAsia="zh-CN"/>
              </w:rPr>
              <w:t>7.8</w:t>
            </w:r>
          </w:p>
        </w:tc>
        <w:tc>
          <w:tcPr>
            <w:tcW w:w="26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HAnsi" w:hAnsiTheme="minorHAnsi" w:eastAsiaTheme="minorEastAsia" w:cstheme="minorBidi"/>
                <w:color w:val="auto"/>
                <w:kern w:val="2"/>
                <w:sz w:val="24"/>
                <w:szCs w:val="24"/>
                <w:highlight w:val="none"/>
                <w:vertAlign w:val="baseline"/>
                <w:lang w:val="en-US" w:eastAsia="zh-CN" w:bidi="ar-SA"/>
              </w:rPr>
            </w:pPr>
            <w:r>
              <w:rPr>
                <w:rFonts w:hint="eastAsia"/>
                <w:color w:val="auto"/>
                <w:sz w:val="24"/>
                <w:szCs w:val="24"/>
                <w:highlight w:val="none"/>
                <w:vertAlign w:val="baseline"/>
                <w:lang w:eastAsia="zh-CN"/>
              </w:rPr>
              <w:t>电、高温等危险标识</w:t>
            </w:r>
          </w:p>
        </w:tc>
        <w:tc>
          <w:tcPr>
            <w:tcW w:w="430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w:t>
            </w:r>
          </w:p>
        </w:tc>
      </w:tr>
    </w:tbl>
    <w:p>
      <w:pPr>
        <w:pStyle w:val="14"/>
        <w:keepNext w:val="0"/>
        <w:keepLines w:val="0"/>
        <w:pageBreakBefore w:val="0"/>
        <w:wordWrap/>
        <w:overflowPunct/>
        <w:topLinePunct w:val="0"/>
        <w:bidi w:val="0"/>
        <w:spacing w:line="360" w:lineRule="auto"/>
        <w:ind w:firstLine="482"/>
        <w:rPr>
          <w:rFonts w:hint="default" w:ascii="Times New Roman" w:hAnsi="Times New Roman" w:eastAsia="宋体" w:cs="Times New Roman"/>
          <w:b/>
          <w:color w:val="auto"/>
          <w:sz w:val="24"/>
          <w:szCs w:val="24"/>
          <w:highlight w:val="none"/>
        </w:rPr>
      </w:pPr>
      <w:r>
        <w:rPr>
          <w:rFonts w:hint="default" w:ascii="黑体" w:hAnsi="黑体" w:eastAsia="黑体" w:cs="黑体"/>
          <w:b w:val="0"/>
          <w:bCs w:val="0"/>
          <w:color w:val="auto"/>
          <w:kern w:val="2"/>
          <w:sz w:val="24"/>
          <w:szCs w:val="24"/>
          <w:highlight w:val="none"/>
          <w:lang w:val="en-US" w:eastAsia="zh-CN" w:bidi="ar-SA"/>
        </w:rPr>
        <w:t>四、知识产权情况说明</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kern w:val="0"/>
          <w:sz w:val="24"/>
          <w:szCs w:val="24"/>
          <w:highlight w:val="none"/>
        </w:rPr>
      </w:pPr>
      <w:r>
        <w:rPr>
          <w:rFonts w:hint="default" w:ascii="Times New Roman" w:hAnsi="Times New Roman" w:eastAsia="宋体" w:cs="Times New Roman"/>
          <w:color w:val="auto"/>
          <w:kern w:val="2"/>
          <w:sz w:val="24"/>
          <w:szCs w:val="24"/>
          <w:highlight w:val="none"/>
          <w:lang w:val="en-US" w:eastAsia="zh-CN" w:bidi="ar-SA"/>
        </w:rPr>
        <w:t>本标准不涉及专利。</w:t>
      </w:r>
    </w:p>
    <w:p>
      <w:pPr>
        <w:pStyle w:val="14"/>
        <w:keepNext w:val="0"/>
        <w:keepLines w:val="0"/>
        <w:pageBreakBefore w:val="0"/>
        <w:wordWrap/>
        <w:overflowPunct/>
        <w:topLinePunct w:val="0"/>
        <w:bidi w:val="0"/>
        <w:spacing w:line="360" w:lineRule="auto"/>
        <w:ind w:firstLine="482"/>
        <w:rPr>
          <w:rFonts w:hint="default" w:ascii="Times New Roman" w:hAnsi="Times New Roman" w:cs="Times New Roman"/>
          <w:b/>
          <w:color w:val="auto"/>
          <w:sz w:val="24"/>
          <w:szCs w:val="24"/>
          <w:highlight w:val="none"/>
        </w:rPr>
      </w:pPr>
      <w:r>
        <w:rPr>
          <w:rFonts w:hint="default" w:ascii="黑体" w:hAnsi="黑体" w:eastAsia="黑体" w:cs="黑体"/>
          <w:b w:val="0"/>
          <w:bCs w:val="0"/>
          <w:color w:val="auto"/>
          <w:kern w:val="2"/>
          <w:sz w:val="24"/>
          <w:szCs w:val="24"/>
          <w:highlight w:val="none"/>
          <w:lang w:val="en-US" w:eastAsia="zh-CN" w:bidi="ar-SA"/>
        </w:rPr>
        <w:t>五、产业化情况、推广应用论证和预期达到的经济效果</w:t>
      </w:r>
    </w:p>
    <w:p>
      <w:pPr>
        <w:keepNext w:val="0"/>
        <w:keepLines w:val="0"/>
        <w:pageBreakBefore w:val="0"/>
        <w:kinsoku/>
        <w:wordWrap/>
        <w:overflowPunct/>
        <w:topLinePunct w:val="0"/>
        <w:bidi w:val="0"/>
        <w:adjustRightInd w:val="0"/>
        <w:snapToGrid w:val="0"/>
        <w:spacing w:line="360" w:lineRule="auto"/>
        <w:ind w:firstLine="480" w:firstLineChars="200"/>
        <w:textAlignment w:val="auto"/>
        <w:rPr>
          <w:rFonts w:hint="default" w:ascii="Times New Roman" w:hAnsi="Times New Roman" w:cs="Times New Roman"/>
          <w:b w:val="0"/>
          <w:bCs w:val="0"/>
          <w:sz w:val="24"/>
          <w:szCs w:val="24"/>
          <w:highlight w:val="none"/>
        </w:rPr>
      </w:pPr>
      <w:r>
        <w:rPr>
          <w:rFonts w:hint="default" w:ascii="Times New Roman" w:hAnsi="Times New Roman" w:cs="Times New Roman"/>
          <w:b w:val="0"/>
          <w:bCs w:val="0"/>
          <w:sz w:val="24"/>
          <w:szCs w:val="24"/>
          <w:highlight w:val="none"/>
        </w:rPr>
        <w:t>目前航空发动机涡轮盘生产的主流工艺</w:t>
      </w:r>
      <w:r>
        <w:rPr>
          <w:rFonts w:hint="default" w:ascii="Times New Roman" w:hAnsi="Times New Roman" w:cs="Times New Roman"/>
          <w:b w:val="0"/>
          <w:bCs w:val="0"/>
          <w:sz w:val="24"/>
          <w:szCs w:val="24"/>
          <w:highlight w:val="none"/>
          <w:lang w:val="en-US" w:eastAsia="zh-CN"/>
        </w:rPr>
        <w:t>主要有仿俄的“等离子旋转电极（PREP）+直接热等静压（AS-HIP）”工艺和仿欧美的</w:t>
      </w:r>
      <w:r>
        <w:rPr>
          <w:rFonts w:hint="default" w:ascii="Times New Roman" w:hAnsi="Times New Roman" w:eastAsia="宋体" w:cs="Times New Roman"/>
          <w:b w:val="0"/>
          <w:bCs w:val="0"/>
          <w:sz w:val="24"/>
          <w:szCs w:val="24"/>
          <w:highlight w:val="none"/>
          <w:lang w:val="en-US" w:eastAsia="zh-CN"/>
        </w:rPr>
        <w:t>“氩气雾化制粉+热等静压+挤压+等温锻造”工艺</w:t>
      </w:r>
      <w:r>
        <w:rPr>
          <w:rFonts w:hint="default" w:ascii="Times New Roman" w:hAnsi="Times New Roman" w:cs="Times New Roman"/>
          <w:b w:val="0"/>
          <w:bCs w:val="0"/>
          <w:sz w:val="24"/>
          <w:szCs w:val="24"/>
          <w:highlight w:val="none"/>
        </w:rPr>
        <w:t>，</w:t>
      </w:r>
      <w:r>
        <w:rPr>
          <w:rFonts w:hint="default" w:ascii="Times New Roman" w:hAnsi="Times New Roman" w:cs="Times New Roman"/>
          <w:b w:val="0"/>
          <w:bCs w:val="0"/>
          <w:sz w:val="24"/>
          <w:szCs w:val="24"/>
          <w:highlight w:val="none"/>
          <w:lang w:val="en-US" w:eastAsia="zh-CN"/>
        </w:rPr>
        <w:t>两种工艺钧</w:t>
      </w:r>
      <w:r>
        <w:rPr>
          <w:rFonts w:hint="default" w:ascii="Times New Roman" w:hAnsi="Times New Roman" w:cs="Times New Roman"/>
          <w:b w:val="0"/>
          <w:bCs w:val="0"/>
          <w:sz w:val="24"/>
          <w:szCs w:val="24"/>
          <w:highlight w:val="none"/>
        </w:rPr>
        <w:t>具有工艺路线长、产能低、原材料利用率低和所需特种生产装备昂贵等特点，成本居高不下，使得大批量推广应用受限，目前国内只有少数机构具备产品全流程生产能力，极大地限制了我国航空、海洋等产业发展。</w:t>
      </w:r>
    </w:p>
    <w:p>
      <w:pPr>
        <w:keepNext w:val="0"/>
        <w:keepLines w:val="0"/>
        <w:pageBreakBefore w:val="0"/>
        <w:kinsoku/>
        <w:wordWrap/>
        <w:overflowPunct/>
        <w:topLinePunct w:val="0"/>
        <w:bidi w:val="0"/>
        <w:spacing w:line="360" w:lineRule="auto"/>
        <w:ind w:firstLine="480" w:firstLineChars="200"/>
        <w:textAlignment w:val="auto"/>
        <w:rPr>
          <w:rFonts w:hint="default" w:ascii="Times New Roman" w:hAnsi="Times New Roman" w:cs="Times New Roman"/>
          <w:color w:val="auto"/>
          <w:kern w:val="2"/>
          <w:sz w:val="24"/>
          <w:szCs w:val="24"/>
          <w:highlight w:val="none"/>
        </w:rPr>
      </w:pPr>
      <w:r>
        <w:rPr>
          <w:rFonts w:hint="eastAsia" w:ascii="Times New Roman" w:hAnsi="Times New Roman" w:cs="Times New Roman"/>
          <w:b w:val="0"/>
          <w:bCs w:val="0"/>
          <w:sz w:val="24"/>
          <w:szCs w:val="24"/>
          <w:highlight w:val="none"/>
          <w:lang w:val="en-US" w:eastAsia="zh-CN"/>
        </w:rPr>
        <w:t>使用本标准生产的</w:t>
      </w:r>
      <w:r>
        <w:rPr>
          <w:rFonts w:hint="eastAsia"/>
          <w:color w:val="auto"/>
          <w:sz w:val="24"/>
          <w:szCs w:val="24"/>
          <w:highlight w:val="none"/>
          <w:vertAlign w:val="baseline"/>
          <w:lang w:eastAsia="zh-CN"/>
        </w:rPr>
        <w:t>振荡热压真空烧结炉</w:t>
      </w:r>
      <w:r>
        <w:rPr>
          <w:rFonts w:hint="eastAsia"/>
          <w:color w:val="auto"/>
          <w:sz w:val="24"/>
          <w:szCs w:val="24"/>
          <w:highlight w:val="none"/>
          <w:vertAlign w:val="baseline"/>
          <w:lang w:val="en-US" w:eastAsia="zh-CN"/>
        </w:rPr>
        <w:t>使用</w:t>
      </w:r>
      <w:r>
        <w:rPr>
          <w:rFonts w:hint="default" w:ascii="Times New Roman" w:hAnsi="Times New Roman" w:cs="Times New Roman"/>
          <w:b w:val="0"/>
          <w:bCs w:val="0"/>
          <w:sz w:val="24"/>
          <w:szCs w:val="24"/>
          <w:highlight w:val="none"/>
          <w:lang w:eastAsia="zh-CN"/>
        </w:rPr>
        <w:t>粉末真空锻造成型</w:t>
      </w:r>
      <w:r>
        <w:rPr>
          <w:rFonts w:hint="default" w:ascii="Times New Roman" w:hAnsi="Times New Roman" w:cs="Times New Roman"/>
          <w:b w:val="0"/>
          <w:bCs w:val="0"/>
          <w:sz w:val="24"/>
          <w:szCs w:val="24"/>
          <w:highlight w:val="none"/>
        </w:rPr>
        <w:t>一次成型</w:t>
      </w:r>
      <w:r>
        <w:rPr>
          <w:rFonts w:hint="eastAsia" w:ascii="Times New Roman" w:hAnsi="Times New Roman" w:cs="Times New Roman"/>
          <w:b w:val="0"/>
          <w:bCs w:val="0"/>
          <w:sz w:val="24"/>
          <w:szCs w:val="24"/>
          <w:highlight w:val="none"/>
          <w:lang w:val="en-US" w:eastAsia="zh-CN"/>
        </w:rPr>
        <w:t>工艺制造的</w:t>
      </w:r>
      <w:r>
        <w:rPr>
          <w:rFonts w:hint="default" w:ascii="Times New Roman" w:hAnsi="Times New Roman" w:cs="Times New Roman"/>
          <w:b w:val="0"/>
          <w:bCs w:val="0"/>
          <w:sz w:val="24"/>
          <w:szCs w:val="24"/>
          <w:highlight w:val="none"/>
        </w:rPr>
        <w:t>涡轮盘具有明显的成本优势，目前已实现</w:t>
      </w:r>
      <w:r>
        <w:rPr>
          <w:rFonts w:hint="eastAsia" w:ascii="Times New Roman" w:hAnsi="Times New Roman" w:cs="Times New Roman"/>
          <w:b w:val="0"/>
          <w:bCs w:val="0"/>
          <w:sz w:val="24"/>
          <w:szCs w:val="24"/>
          <w:highlight w:val="none"/>
          <w:lang w:val="en-US" w:eastAsia="zh-CN"/>
        </w:rPr>
        <w:t>小批量生产</w:t>
      </w:r>
      <w:r>
        <w:rPr>
          <w:rFonts w:hint="default" w:ascii="Times New Roman" w:hAnsi="Times New Roman" w:cs="Times New Roman"/>
          <w:b w:val="0"/>
          <w:bCs w:val="0"/>
          <w:sz w:val="24"/>
          <w:szCs w:val="24"/>
          <w:highlight w:val="none"/>
        </w:rPr>
        <w:t>，在未来航空发动机领域将推广获得广阔的应用市场。急需将</w:t>
      </w:r>
      <w:r>
        <w:rPr>
          <w:rFonts w:hint="eastAsia"/>
          <w:color w:val="auto"/>
          <w:sz w:val="24"/>
          <w:szCs w:val="24"/>
          <w:highlight w:val="none"/>
          <w:vertAlign w:val="baseline"/>
          <w:lang w:eastAsia="zh-CN"/>
        </w:rPr>
        <w:t>振荡热压真空烧结炉</w:t>
      </w:r>
      <w:r>
        <w:rPr>
          <w:rFonts w:hint="default" w:ascii="Times New Roman" w:hAnsi="Times New Roman" w:cs="Times New Roman"/>
          <w:b w:val="0"/>
          <w:bCs w:val="0"/>
          <w:sz w:val="24"/>
          <w:szCs w:val="24"/>
          <w:highlight w:val="none"/>
        </w:rPr>
        <w:t>标准化，缩短涡轮盘制备技术与国外先进水平的差距，满足国防科技工业对材料的迫切需求，进而支撑未来航空发动机的高质量发展。</w:t>
      </w:r>
    </w:p>
    <w:p>
      <w:pPr>
        <w:pStyle w:val="14"/>
        <w:keepNext w:val="0"/>
        <w:keepLines w:val="0"/>
        <w:pageBreakBefore w:val="0"/>
        <w:wordWrap/>
        <w:overflowPunct/>
        <w:topLinePunct w:val="0"/>
        <w:bidi w:val="0"/>
        <w:spacing w:line="360" w:lineRule="auto"/>
        <w:ind w:firstLine="482"/>
        <w:rPr>
          <w:rFonts w:hint="default" w:ascii="Times New Roman" w:hAnsi="Times New Roman" w:cs="Times New Roman"/>
          <w:b/>
          <w:color w:val="auto"/>
          <w:sz w:val="24"/>
          <w:szCs w:val="24"/>
          <w:highlight w:val="none"/>
        </w:rPr>
      </w:pPr>
      <w:r>
        <w:rPr>
          <w:rFonts w:hint="default" w:ascii="黑体" w:hAnsi="黑体" w:eastAsia="黑体" w:cs="黑体"/>
          <w:b w:val="0"/>
          <w:bCs w:val="0"/>
          <w:color w:val="auto"/>
          <w:kern w:val="2"/>
          <w:sz w:val="24"/>
          <w:szCs w:val="24"/>
          <w:highlight w:val="none"/>
          <w:lang w:val="en-US" w:eastAsia="zh-CN" w:bidi="ar-SA"/>
        </w:rPr>
        <w:t>六、国内外标准（包括国际标准和国外先进标准）对比</w:t>
      </w:r>
    </w:p>
    <w:tbl>
      <w:tblPr>
        <w:tblStyle w:val="6"/>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5"/>
        <w:gridCol w:w="3509"/>
        <w:gridCol w:w="35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标准号</w:t>
            </w:r>
          </w:p>
        </w:tc>
        <w:tc>
          <w:tcPr>
            <w:tcW w:w="2060" w:type="pct"/>
            <w:vAlign w:val="center"/>
          </w:tcPr>
          <w:p>
            <w:pPr>
              <w:spacing w:beforeLines="0" w:afterLine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本标准（必填）</w:t>
            </w:r>
          </w:p>
        </w:tc>
        <w:tc>
          <w:tcPr>
            <w:tcW w:w="2061" w:type="pct"/>
            <w:vAlign w:val="center"/>
          </w:tcPr>
          <w:p>
            <w:pPr>
              <w:spacing w:beforeLines="0" w:afterLines="0"/>
              <w:jc w:val="center"/>
              <w:rPr>
                <w:rFonts w:hint="default" w:ascii="Times New Roman" w:hAnsi="Times New Roman" w:eastAsia="宋体" w:cs="Times New Roman"/>
                <w:kern w:val="2"/>
                <w:sz w:val="21"/>
                <w:szCs w:val="21"/>
                <w:highlight w:val="none"/>
                <w:lang w:val="de-DE" w:eastAsia="zh-CN" w:bidi="ar-SA"/>
              </w:rPr>
            </w:pPr>
            <w:r>
              <w:rPr>
                <w:rFonts w:hint="default" w:ascii="Times New Roman" w:hAnsi="Times New Roman" w:eastAsia="宋体" w:cs="Times New Roman"/>
                <w:sz w:val="21"/>
                <w:szCs w:val="21"/>
                <w:highlight w:val="none"/>
                <w:lang w:val="en-US" w:eastAsia="zh-CN"/>
              </w:rPr>
              <w:t>J</w:t>
            </w:r>
            <w:r>
              <w:rPr>
                <w:rFonts w:hint="default" w:ascii="Times New Roman" w:hAnsi="Times New Roman" w:eastAsia="宋体" w:cs="Times New Roman"/>
                <w:sz w:val="21"/>
                <w:szCs w:val="21"/>
                <w:highlight w:val="none"/>
              </w:rPr>
              <w:t>B</w:t>
            </w:r>
            <w:r>
              <w:rPr>
                <w:rFonts w:hint="default" w:ascii="Times New Roman" w:hAnsi="Times New Roman" w:eastAsia="宋体" w:cs="Times New Roman"/>
                <w:sz w:val="21"/>
                <w:szCs w:val="21"/>
                <w:highlight w:val="none"/>
                <w:lang w:val="en-US" w:eastAsia="zh-CN"/>
              </w:rPr>
              <w:t>/T 10550-2006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标准名称</w:t>
            </w:r>
          </w:p>
        </w:tc>
        <w:tc>
          <w:tcPr>
            <w:tcW w:w="2060"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振荡热压真空烧结炉</w:t>
            </w:r>
          </w:p>
        </w:tc>
        <w:tc>
          <w:tcPr>
            <w:tcW w:w="2061"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1 范围</w:t>
            </w:r>
          </w:p>
        </w:tc>
        <w:tc>
          <w:tcPr>
            <w:tcW w:w="2060" w:type="pct"/>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本文件规定了振荡热压真空烧结炉的分类、主要参数、技术要求、试验方法、检验规则、标志、包装、运输、贮存。</w:t>
            </w:r>
          </w:p>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本文件适用于真空或惰性气体保护状态下材料通过加热和振荡机械压力作用，使金属、金属陶瓷、特种陶瓷粉末烧结成制件的真空炉。</w:t>
            </w:r>
          </w:p>
        </w:tc>
        <w:tc>
          <w:tcPr>
            <w:tcW w:w="2061" w:type="pct"/>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本标准规定了内热式电阻加热式真空烧结炉(以下简称真空炉的型式与基本参数、技术要求、测量方法、检验规则、标志、包装、运输、贮存及订购等。</w:t>
            </w:r>
          </w:p>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本标准适用于真空状态下材料通过加热、加热和机械压力或加热和气体压力作用，使相邻晶粒通过粘着和扩散而烧结成零件的真空炉。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4 分类及主要参数</w:t>
            </w:r>
          </w:p>
        </w:tc>
        <w:tc>
          <w:tcPr>
            <w:tcW w:w="2060" w:type="pct"/>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ZR</w:t>
            </w:r>
            <w:r>
              <w:rPr>
                <w:rFonts w:hint="default" w:ascii="Times New Roman" w:hAnsi="Times New Roman" w:eastAsia="宋体" w:cs="Times New Roman"/>
                <w:szCs w:val="21"/>
                <w:highlight w:val="none"/>
              </w:rPr>
              <w:t>L</w:t>
            </w:r>
            <w:r>
              <w:rPr>
                <w:rFonts w:hint="default" w:ascii="Times New Roman" w:hAnsi="Times New Roman" w:eastAsia="宋体" w:cs="Times New Roman"/>
                <w:szCs w:val="21"/>
                <w:highlight w:val="none"/>
                <w:lang w:val="en-US" w:eastAsia="zh-CN"/>
              </w:rPr>
              <w:t>XXX</w:t>
            </w:r>
          </w:p>
          <w:p>
            <w:pPr>
              <w:keepNext w:val="0"/>
              <w:keepLines w:val="0"/>
              <w:suppressLineNumbers w:val="0"/>
              <w:spacing w:before="0" w:beforeAutospacing="0" w:after="0" w:afterAutospacing="0"/>
              <w:ind w:left="0" w:right="0"/>
              <w:jc w:val="left"/>
              <w:rPr>
                <w:rFonts w:hint="default" w:ascii="Times New Roman" w:hAnsi="Times New Roman" w:cs="Times New Roman"/>
                <w:color w:val="FF0000"/>
                <w:highlight w:val="none"/>
                <w:lang w:val="en-US" w:eastAsia="zh-CN"/>
              </w:rPr>
            </w:pPr>
            <w:r>
              <w:rPr>
                <w:rFonts w:hint="default" w:ascii="Times New Roman" w:hAnsi="Times New Roman" w:eastAsia="宋体" w:cs="Times New Roman"/>
                <w:szCs w:val="21"/>
                <w:highlight w:val="none"/>
                <w:lang w:val="en-US" w:eastAsia="zh-CN"/>
              </w:rPr>
              <w:t>Z代表振荡；R代表热压；L代表立式真空烧结炉；XXX代表设备最大静态载荷kN</w:t>
            </w:r>
          </w:p>
        </w:tc>
        <w:tc>
          <w:tcPr>
            <w:tcW w:w="2061" w:type="pct"/>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ZSD-X1-X2X3</w:t>
            </w:r>
          </w:p>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Z代表真空；S代表烧结；D代表电阻；X1代表真空炉均温区尺寸（宽度或直径的百分之一）；X2代表真空炉均温区长度；X3代表真空炉型式（以W代表卧式炉，L代表立式炉，F代表复合式炉）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主要参数</w:t>
            </w:r>
          </w:p>
        </w:tc>
        <w:tc>
          <w:tcPr>
            <w:tcW w:w="2060" w:type="pct"/>
            <w:vAlign w:val="center"/>
          </w:tcPr>
          <w:p>
            <w:pPr>
              <w:keepNext w:val="0"/>
              <w:keepLines w:val="0"/>
              <w:pageBreakBefore w:val="0"/>
              <w:kinsoku/>
              <w:wordWrap/>
              <w:overflowPunct/>
              <w:topLinePunct w:val="0"/>
              <w:autoSpaceDE/>
              <w:autoSpaceDN/>
              <w:bidi w:val="0"/>
              <w:adjustRightInd/>
              <w:snapToGrid/>
              <w:jc w:val="left"/>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eastAsia="宋体" w:cs="Times New Roman"/>
                <w:szCs w:val="21"/>
                <w:highlight w:val="none"/>
                <w:lang w:eastAsia="zh-CN"/>
              </w:rPr>
              <w:t>工作区域尺寸（直径</w:t>
            </w:r>
            <w:r>
              <w:rPr>
                <w:rFonts w:hint="default" w:ascii="Times New Roman" w:hAnsi="Times New Roman" w:eastAsia="宋体" w:cs="Times New Roman"/>
                <w:szCs w:val="21"/>
                <w:highlight w:val="none"/>
                <w:lang w:val="en-US" w:eastAsia="zh-CN"/>
              </w:rPr>
              <w:t>×高度</w:t>
            </w:r>
            <w:r>
              <w:rPr>
                <w:rFonts w:hint="default"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lang w:val="en-US" w:eastAsia="zh-CN"/>
              </w:rPr>
              <w:t xml:space="preserve"> 最大900</w:t>
            </w:r>
            <w:r>
              <w:rPr>
                <w:rFonts w:hint="default" w:ascii="Times New Roman" w:hAnsi="Times New Roman" w:eastAsia="宋体" w:cs="Times New Roman"/>
                <w:szCs w:val="21"/>
                <w:highlight w:val="none"/>
                <w:lang w:eastAsia="zh-CN"/>
              </w:rPr>
              <w:t>（Φ）</w:t>
            </w:r>
            <w:r>
              <w:rPr>
                <w:rFonts w:hint="default" w:ascii="Times New Roman" w:hAnsi="Times New Roman" w:eastAsia="宋体" w:cs="Times New Roman"/>
                <w:szCs w:val="21"/>
                <w:highlight w:val="none"/>
                <w:lang w:val="en-US" w:eastAsia="zh-CN"/>
              </w:rPr>
              <w:t>× 1200</w:t>
            </w:r>
            <w:r>
              <w:rPr>
                <w:rFonts w:hint="default" w:ascii="Times New Roman" w:hAnsi="Times New Roman" w:eastAsia="宋体" w:cs="Times New Roman"/>
                <w:szCs w:val="21"/>
                <w:highlight w:val="none"/>
                <w:lang w:eastAsia="zh-CN"/>
              </w:rPr>
              <w:t>（H）</w:t>
            </w:r>
            <w:r>
              <w:rPr>
                <w:rFonts w:hint="default" w:ascii="Times New Roman" w:hAnsi="Times New Roman" w:eastAsia="宋体" w:cs="Times New Roman"/>
                <w:szCs w:val="21"/>
                <w:highlight w:val="none"/>
                <w:lang w:val="en-US" w:eastAsia="zh-CN"/>
              </w:rPr>
              <w:t>mm</w:t>
            </w:r>
          </w:p>
        </w:tc>
        <w:tc>
          <w:tcPr>
            <w:tcW w:w="2061" w:type="pct"/>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p>
        </w:tc>
        <w:tc>
          <w:tcPr>
            <w:tcW w:w="2060" w:type="pct"/>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lang w:eastAsia="zh-CN"/>
              </w:rPr>
            </w:pPr>
            <w:r>
              <w:rPr>
                <w:rFonts w:hint="default" w:ascii="Times New Roman" w:hAnsi="Times New Roman" w:eastAsia="宋体" w:cs="Times New Roman"/>
                <w:szCs w:val="21"/>
                <w:highlight w:val="none"/>
                <w:lang w:eastAsia="zh-CN"/>
              </w:rPr>
              <w:t>最大静态载荷</w:t>
            </w:r>
            <w:r>
              <w:rPr>
                <w:rFonts w:hint="default" w:ascii="Times New Roman" w:hAnsi="Times New Roman" w:eastAsia="宋体" w:cs="Times New Roman"/>
                <w:szCs w:val="21"/>
                <w:highlight w:val="none"/>
                <w:lang w:val="en-US" w:eastAsia="zh-CN"/>
              </w:rPr>
              <w:t xml:space="preserve"> 12000 kN</w:t>
            </w:r>
          </w:p>
        </w:tc>
        <w:tc>
          <w:tcPr>
            <w:tcW w:w="2061" w:type="pct"/>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p>
        </w:tc>
        <w:tc>
          <w:tcPr>
            <w:tcW w:w="2060"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eastAsia="zh-CN"/>
              </w:rPr>
              <w:t>振荡载荷为</w:t>
            </w:r>
            <w:r>
              <w:rPr>
                <w:rFonts w:hint="default" w:ascii="Times New Roman" w:hAnsi="Times New Roman" w:eastAsia="宋体" w:cs="Times New Roman"/>
                <w:szCs w:val="21"/>
                <w:highlight w:val="none"/>
                <w:lang w:val="en-US" w:eastAsia="zh-CN"/>
              </w:rPr>
              <w:t>最大静态载荷的 0 ～ 50 %</w:t>
            </w:r>
          </w:p>
        </w:tc>
        <w:tc>
          <w:tcPr>
            <w:tcW w:w="2061" w:type="pct"/>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p>
        </w:tc>
        <w:tc>
          <w:tcPr>
            <w:tcW w:w="2060"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 xml:space="preserve">振荡频率 </w:t>
            </w:r>
            <w:r>
              <w:rPr>
                <w:rFonts w:hint="default" w:ascii="Times New Roman" w:hAnsi="Times New Roman" w:eastAsia="宋体" w:cs="Times New Roman"/>
                <w:szCs w:val="21"/>
                <w:highlight w:val="none"/>
                <w:lang w:eastAsia="zh-CN"/>
              </w:rPr>
              <w:t xml:space="preserve">0 ～ </w:t>
            </w:r>
            <w:r>
              <w:rPr>
                <w:rFonts w:hint="default" w:ascii="Times New Roman" w:hAnsi="Times New Roman" w:eastAsia="宋体" w:cs="Times New Roman"/>
                <w:szCs w:val="21"/>
                <w:highlight w:val="none"/>
                <w:lang w:val="en-US" w:eastAsia="zh-CN"/>
              </w:rPr>
              <w:t>5 Hz</w:t>
            </w:r>
          </w:p>
        </w:tc>
        <w:tc>
          <w:tcPr>
            <w:tcW w:w="2061" w:type="pct"/>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p>
        </w:tc>
        <w:tc>
          <w:tcPr>
            <w:tcW w:w="2060" w:type="pct"/>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eastAsia="zh-CN"/>
              </w:rPr>
              <w:t>最高温度</w:t>
            </w:r>
            <w:r>
              <w:rPr>
                <w:rFonts w:hint="default" w:ascii="Times New Roman" w:hAnsi="Times New Roman" w:eastAsia="宋体" w:cs="Times New Roman"/>
                <w:szCs w:val="21"/>
                <w:highlight w:val="none"/>
                <w:lang w:val="en-US" w:eastAsia="zh-CN"/>
              </w:rPr>
              <w:t>2000</w:t>
            </w:r>
            <w:r>
              <w:rPr>
                <w:rFonts w:hint="default" w:ascii="Times New Roman" w:hAnsi="Times New Roman" w:cs="Times New Roman"/>
                <w:color w:val="auto"/>
                <w:sz w:val="18"/>
                <w:szCs w:val="18"/>
                <w:highlight w:val="none"/>
              </w:rPr>
              <w:t>℃</w:t>
            </w:r>
          </w:p>
        </w:tc>
        <w:tc>
          <w:tcPr>
            <w:tcW w:w="2061" w:type="pct"/>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eastAsia="zh-CN"/>
              </w:rPr>
              <w:t>最高温度</w:t>
            </w:r>
            <w:r>
              <w:rPr>
                <w:rFonts w:hint="default" w:ascii="Times New Roman" w:hAnsi="Times New Roman" w:eastAsia="宋体" w:cs="Times New Roman"/>
                <w:szCs w:val="21"/>
                <w:highlight w:val="none"/>
                <w:lang w:val="en-US" w:eastAsia="zh-CN"/>
              </w:rPr>
              <w:t>2400</w:t>
            </w:r>
            <w:r>
              <w:rPr>
                <w:rFonts w:hint="default" w:ascii="Times New Roman" w:hAnsi="Times New Roman" w:cs="Times New Roman"/>
                <w:color w:val="auto"/>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p>
        </w:tc>
        <w:tc>
          <w:tcPr>
            <w:tcW w:w="2060"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eastAsia="zh-CN"/>
              </w:rPr>
              <w:t>工作温度</w:t>
            </w:r>
            <w:r>
              <w:rPr>
                <w:rFonts w:hint="default" w:ascii="Times New Roman" w:hAnsi="Times New Roman" w:eastAsia="宋体" w:cs="Times New Roman"/>
                <w:szCs w:val="21"/>
                <w:highlight w:val="none"/>
                <w:lang w:val="en-US" w:eastAsia="zh-CN"/>
              </w:rPr>
              <w:t>室温</w:t>
            </w:r>
            <w:r>
              <w:rPr>
                <w:rFonts w:hint="default" w:ascii="Times New Roman" w:hAnsi="Times New Roman" w:eastAsia="仿宋" w:cs="Times New Roman"/>
                <w:szCs w:val="21"/>
                <w:highlight w:val="none"/>
                <w:lang w:val="en-US" w:eastAsia="zh-CN"/>
              </w:rPr>
              <w:t>～</w:t>
            </w:r>
            <w:r>
              <w:rPr>
                <w:rFonts w:hint="default" w:ascii="Times New Roman" w:hAnsi="Times New Roman" w:eastAsia="宋体" w:cs="Times New Roman"/>
                <w:szCs w:val="21"/>
                <w:highlight w:val="none"/>
                <w:lang w:val="en-US" w:eastAsia="zh-CN"/>
              </w:rPr>
              <w:t>2000</w:t>
            </w:r>
            <w:r>
              <w:rPr>
                <w:rFonts w:hint="default" w:ascii="Times New Roman" w:hAnsi="Times New Roman" w:cs="Times New Roman"/>
                <w:color w:val="auto"/>
                <w:sz w:val="18"/>
                <w:szCs w:val="18"/>
                <w:highlight w:val="none"/>
              </w:rPr>
              <w:t>℃</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eastAsia="zh-CN"/>
              </w:rPr>
              <w:t>工作温度</w:t>
            </w:r>
            <w:r>
              <w:rPr>
                <w:rFonts w:hint="default" w:ascii="Times New Roman" w:hAnsi="Times New Roman" w:eastAsia="宋体" w:cs="Times New Roman"/>
                <w:szCs w:val="21"/>
                <w:highlight w:val="none"/>
                <w:lang w:val="en-US" w:eastAsia="zh-CN"/>
              </w:rPr>
              <w:t>500</w:t>
            </w:r>
            <w:r>
              <w:rPr>
                <w:rFonts w:hint="default" w:ascii="Times New Roman" w:hAnsi="Times New Roman" w:eastAsia="仿宋" w:cs="Times New Roman"/>
                <w:szCs w:val="21"/>
                <w:highlight w:val="none"/>
                <w:lang w:val="en-US" w:eastAsia="zh-CN"/>
              </w:rPr>
              <w:t>～</w:t>
            </w:r>
            <w:r>
              <w:rPr>
                <w:rFonts w:hint="default" w:ascii="Times New Roman" w:hAnsi="Times New Roman" w:eastAsia="宋体" w:cs="Times New Roman"/>
                <w:szCs w:val="21"/>
                <w:highlight w:val="none"/>
                <w:lang w:val="en-US" w:eastAsia="zh-CN"/>
              </w:rPr>
              <w:t>2400</w:t>
            </w:r>
            <w:r>
              <w:rPr>
                <w:rFonts w:hint="default" w:ascii="Times New Roman" w:hAnsi="Times New Roman" w:cs="Times New Roman"/>
                <w:color w:val="auto"/>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p>
        </w:tc>
        <w:tc>
          <w:tcPr>
            <w:tcW w:w="2060" w:type="pct"/>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eastAsia="zh-CN"/>
              </w:rPr>
              <w:t>炉温均匀性</w:t>
            </w:r>
            <w:r>
              <w:rPr>
                <w:rFonts w:hint="default" w:ascii="Times New Roman" w:hAnsi="Times New Roman" w:eastAsia="宋体" w:cs="Times New Roman"/>
                <w:szCs w:val="21"/>
                <w:highlight w:val="none"/>
                <w:lang w:val="en-US" w:eastAsia="zh-CN"/>
              </w:rPr>
              <w:t>±5℃</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eastAsia="zh-CN"/>
              </w:rPr>
              <w:t>炉温均匀性</w:t>
            </w:r>
            <w:r>
              <w:rPr>
                <w:rFonts w:hint="default" w:ascii="Times New Roman" w:hAnsi="Times New Roman" w:eastAsia="宋体" w:cs="Times New Roman"/>
                <w:szCs w:val="21"/>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p>
        </w:tc>
        <w:tc>
          <w:tcPr>
            <w:tcW w:w="2060" w:type="pct"/>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eastAsia="zh-CN"/>
              </w:rPr>
              <w:t>空炉升温速率</w:t>
            </w:r>
            <w:r>
              <w:rPr>
                <w:rFonts w:hint="default" w:ascii="Times New Roman" w:hAnsi="Times New Roman" w:eastAsia="宋体" w:cs="Times New Roman"/>
                <w:szCs w:val="21"/>
                <w:highlight w:val="none"/>
                <w:lang w:val="en-US" w:eastAsia="zh-CN"/>
              </w:rPr>
              <w:t xml:space="preserve"> </w:t>
            </w:r>
            <w:r>
              <w:rPr>
                <w:rFonts w:hint="default" w:ascii="Times New Roman" w:hAnsi="Times New Roman" w:eastAsia="宋体" w:cs="Times New Roman"/>
                <w:szCs w:val="21"/>
                <w:highlight w:val="none"/>
                <w:lang w:eastAsia="zh-CN"/>
              </w:rPr>
              <w:t>0 ～ 25℃/min</w:t>
            </w:r>
            <w:r>
              <w:rPr>
                <w:rFonts w:hint="default" w:ascii="Times New Roman" w:hAnsi="Times New Roman" w:eastAsia="宋体" w:cs="Times New Roman"/>
                <w:szCs w:val="21"/>
                <w:highlight w:val="none"/>
                <w:lang w:val="en-US" w:eastAsia="zh-CN"/>
              </w:rPr>
              <w:t xml:space="preserve">  </w:t>
            </w:r>
          </w:p>
        </w:tc>
        <w:tc>
          <w:tcPr>
            <w:tcW w:w="2061" w:type="pct"/>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p>
        </w:tc>
        <w:tc>
          <w:tcPr>
            <w:tcW w:w="2060" w:type="pct"/>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eastAsia="zh-CN"/>
              </w:rPr>
              <w:t>控温精度</w:t>
            </w:r>
            <w:r>
              <w:rPr>
                <w:rFonts w:hint="default" w:ascii="Times New Roman" w:hAnsi="Times New Roman" w:eastAsia="宋体" w:cs="Times New Roman"/>
                <w:szCs w:val="21"/>
                <w:highlight w:val="none"/>
                <w:lang w:val="en-US" w:eastAsia="zh-CN"/>
              </w:rPr>
              <w:t>±1℃</w:t>
            </w:r>
          </w:p>
        </w:tc>
        <w:tc>
          <w:tcPr>
            <w:tcW w:w="2061" w:type="pct"/>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lang w:val="de-DE" w:eastAsia="zh-CN"/>
              </w:rPr>
            </w:pPr>
            <w:r>
              <w:rPr>
                <w:rFonts w:hint="default" w:ascii="Times New Roman" w:hAnsi="Times New Roman" w:eastAsia="宋体" w:cs="Times New Roman"/>
                <w:szCs w:val="21"/>
                <w:highlight w:val="none"/>
                <w:lang w:eastAsia="zh-CN"/>
              </w:rPr>
              <w:t>控温精度</w:t>
            </w:r>
            <w:r>
              <w:rPr>
                <w:rFonts w:hint="default" w:ascii="Times New Roman" w:hAnsi="Times New Roman" w:eastAsia="宋体" w:cs="Times New Roman"/>
                <w:szCs w:val="21"/>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p>
        </w:tc>
        <w:tc>
          <w:tcPr>
            <w:tcW w:w="2060" w:type="pct"/>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动</w:t>
            </w:r>
            <w:r>
              <w:rPr>
                <w:rFonts w:hint="default" w:ascii="Times New Roman" w:hAnsi="Times New Roman" w:eastAsia="宋体" w:cs="Times New Roman"/>
                <w:szCs w:val="21"/>
                <w:highlight w:val="none"/>
                <w:lang w:eastAsia="zh-CN"/>
              </w:rPr>
              <w:t>态极限真空度</w:t>
            </w:r>
            <w:r>
              <w:rPr>
                <w:rFonts w:hint="default" w:ascii="Times New Roman" w:hAnsi="Times New Roman" w:eastAsia="宋体" w:cs="Times New Roman"/>
                <w:szCs w:val="21"/>
                <w:highlight w:val="none"/>
                <w:lang w:val="en-US" w:eastAsia="zh-CN"/>
              </w:rPr>
              <w:t>1 Pa</w:t>
            </w:r>
          </w:p>
        </w:tc>
        <w:tc>
          <w:tcPr>
            <w:tcW w:w="2061" w:type="pct"/>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eastAsia="zh-CN"/>
              </w:rPr>
              <w:t>极限压力</w:t>
            </w:r>
            <w:r>
              <w:rPr>
                <w:rFonts w:hint="default" w:ascii="Times New Roman" w:hAnsi="Times New Roman" w:eastAsia="宋体" w:cs="Times New Roman"/>
                <w:szCs w:val="21"/>
                <w:highlight w:val="none"/>
                <w:lang w:val="en-US" w:eastAsia="zh-CN"/>
              </w:rPr>
              <w:t>1～10</w:t>
            </w:r>
            <w:r>
              <w:rPr>
                <w:rFonts w:hint="default" w:ascii="Times New Roman" w:hAnsi="Times New Roman" w:eastAsia="宋体" w:cs="Times New Roman"/>
                <w:szCs w:val="21"/>
                <w:highlight w:val="none"/>
                <w:vertAlign w:val="superscript"/>
                <w:lang w:val="en-US" w:eastAsia="zh-CN"/>
              </w:rPr>
              <w:t>-4</w:t>
            </w:r>
            <w:r>
              <w:rPr>
                <w:rFonts w:hint="default" w:ascii="Times New Roman" w:hAnsi="Times New Roman" w:eastAsia="宋体" w:cs="Times New Roman"/>
                <w:szCs w:val="21"/>
                <w:highlight w:val="none"/>
                <w:lang w:val="en-US" w:eastAsia="zh-CN"/>
              </w:rPr>
              <w:t xml:space="preserve"> 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p>
        </w:tc>
        <w:tc>
          <w:tcPr>
            <w:tcW w:w="2060" w:type="pct"/>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eastAsia="zh-CN"/>
              </w:rPr>
              <w:t>空炉抽气时间</w:t>
            </w:r>
            <w:r>
              <w:rPr>
                <w:rFonts w:hint="default" w:ascii="Times New Roman" w:hAnsi="Times New Roman" w:eastAsia="宋体" w:cs="Times New Roman"/>
                <w:szCs w:val="21"/>
                <w:highlight w:val="none"/>
                <w:lang w:val="en-US" w:eastAsia="zh-CN"/>
              </w:rPr>
              <w:t xml:space="preserve"> </w:t>
            </w:r>
            <w:r>
              <w:rPr>
                <w:rFonts w:hint="default"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lang w:val="en-US" w:eastAsia="zh-CN"/>
              </w:rPr>
              <w:t xml:space="preserve"> 0.</w:t>
            </w:r>
            <w:r>
              <w:rPr>
                <w:rFonts w:hint="default" w:ascii="Times New Roman" w:hAnsi="Times New Roman" w:eastAsia="宋体" w:cs="Times New Roman"/>
                <w:szCs w:val="21"/>
                <w:highlight w:val="none"/>
                <w:lang w:eastAsia="zh-CN"/>
              </w:rPr>
              <w:t>5</w:t>
            </w:r>
            <w:r>
              <w:rPr>
                <w:rFonts w:hint="default" w:ascii="Times New Roman" w:hAnsi="Times New Roman" w:eastAsia="宋体" w:cs="Times New Roman"/>
                <w:szCs w:val="21"/>
                <w:highlight w:val="none"/>
                <w:lang w:val="en-US" w:eastAsia="zh-CN"/>
              </w:rPr>
              <w:t xml:space="preserve"> h</w:t>
            </w:r>
          </w:p>
        </w:tc>
        <w:tc>
          <w:tcPr>
            <w:tcW w:w="2061" w:type="pct"/>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eastAsia="zh-CN"/>
              </w:rPr>
              <w:t>抽气时间（空炉冷态不含扩散泵等预热时间）≤</w:t>
            </w:r>
            <w:r>
              <w:rPr>
                <w:rFonts w:hint="default" w:ascii="Times New Roman" w:hAnsi="Times New Roman" w:eastAsia="宋体" w:cs="Times New Roman"/>
                <w:szCs w:val="21"/>
                <w:highlight w:val="none"/>
                <w:lang w:val="en-US" w:eastAsia="zh-CN"/>
              </w:rPr>
              <w:t>30 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p>
        </w:tc>
        <w:tc>
          <w:tcPr>
            <w:tcW w:w="2060" w:type="pct"/>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eastAsia="zh-CN"/>
              </w:rPr>
              <w:t>压升率</w:t>
            </w:r>
            <w:r>
              <w:rPr>
                <w:rFonts w:hint="default" w:ascii="Times New Roman" w:hAnsi="Times New Roman" w:eastAsia="宋体" w:cs="Times New Roman"/>
                <w:szCs w:val="21"/>
                <w:highlight w:val="none"/>
                <w:lang w:val="en-US" w:eastAsia="zh-CN"/>
              </w:rPr>
              <w:t xml:space="preserve"> </w:t>
            </w:r>
            <w:r>
              <w:rPr>
                <w:rFonts w:hint="default"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lang w:val="en-US" w:eastAsia="zh-CN"/>
              </w:rPr>
              <w:t xml:space="preserve"> </w:t>
            </w:r>
            <w:r>
              <w:rPr>
                <w:rFonts w:hint="eastAsia" w:ascii="Times New Roman" w:hAnsi="Times New Roman" w:eastAsia="宋体" w:cs="Times New Roman"/>
                <w:szCs w:val="21"/>
                <w:highlight w:val="none"/>
                <w:lang w:val="en-US" w:eastAsia="zh-CN"/>
              </w:rPr>
              <w:t xml:space="preserve"> 1 </w:t>
            </w:r>
            <w:r>
              <w:rPr>
                <w:rFonts w:hint="default" w:ascii="Times New Roman" w:hAnsi="Times New Roman" w:eastAsia="宋体" w:cs="Times New Roman"/>
                <w:szCs w:val="21"/>
                <w:highlight w:val="none"/>
                <w:lang w:eastAsia="zh-CN"/>
              </w:rPr>
              <w:t>Pa/h</w:t>
            </w:r>
          </w:p>
        </w:tc>
        <w:tc>
          <w:tcPr>
            <w:tcW w:w="2061" w:type="pct"/>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eastAsia="zh-CN"/>
              </w:rPr>
              <w:t>升压率</w:t>
            </w:r>
            <w:r>
              <w:rPr>
                <w:rFonts w:hint="default" w:ascii="Times New Roman" w:hAnsi="Times New Roman" w:eastAsia="宋体" w:cs="Times New Roman"/>
                <w:szCs w:val="21"/>
                <w:highlight w:val="none"/>
                <w:lang w:val="en-US" w:eastAsia="zh-CN"/>
              </w:rPr>
              <w:t xml:space="preserve"> </w:t>
            </w:r>
            <w:r>
              <w:rPr>
                <w:rFonts w:hint="default"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lang w:val="en-US" w:eastAsia="zh-CN"/>
              </w:rPr>
              <w:t xml:space="preserve"> </w:t>
            </w:r>
            <w:r>
              <w:rPr>
                <w:rFonts w:hint="default" w:ascii="Times New Roman" w:hAnsi="Times New Roman" w:eastAsia="宋体" w:cs="Times New Roman"/>
                <w:szCs w:val="21"/>
                <w:highlight w:val="none"/>
                <w:lang w:eastAsia="zh-CN"/>
              </w:rPr>
              <w:t>0.67</w:t>
            </w:r>
            <w:r>
              <w:rPr>
                <w:rFonts w:hint="default" w:ascii="Times New Roman" w:hAnsi="Times New Roman" w:eastAsia="宋体" w:cs="Times New Roman"/>
                <w:szCs w:val="21"/>
                <w:highlight w:val="none"/>
                <w:lang w:val="en-US" w:eastAsia="zh-CN"/>
              </w:rPr>
              <w:t xml:space="preserve"> </w:t>
            </w:r>
            <w:r>
              <w:rPr>
                <w:rFonts w:hint="default" w:ascii="Times New Roman" w:hAnsi="Times New Roman" w:eastAsia="宋体" w:cs="Times New Roman"/>
                <w:szCs w:val="21"/>
                <w:highlight w:val="none"/>
                <w:lang w:eastAsia="zh-CN"/>
              </w:rPr>
              <w:t>Pa/h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5 技术要求</w:t>
            </w:r>
          </w:p>
        </w:tc>
        <w:tc>
          <w:tcPr>
            <w:tcW w:w="2060"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5.1 一般要求</w:t>
            </w:r>
          </w:p>
        </w:tc>
        <w:tc>
          <w:tcPr>
            <w:tcW w:w="2060"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一般要求:产品应符合 GB/T 10067.1-2019中第5章以及GB 5959.1 和 GB 5959.4 的规定。</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真空炉应符合 GB/T 10067.1-1998中第5章的规</w:t>
            </w:r>
            <w:r>
              <w:rPr>
                <w:rFonts w:hint="eastAsia" w:ascii="Times New Roman" w:hAnsi="Times New Roman" w:eastAsia="宋体" w:cs="Times New Roman"/>
                <w:kern w:val="2"/>
                <w:sz w:val="21"/>
                <w:szCs w:val="21"/>
                <w:highlight w:val="none"/>
                <w:lang w:val="en-US" w:eastAsia="zh-CN" w:bidi="ar-SA"/>
              </w:rPr>
              <w:t>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5.2　对设计和制造的补充要求</w:t>
            </w:r>
          </w:p>
        </w:tc>
        <w:tc>
          <w:tcPr>
            <w:tcW w:w="2060"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szCs w:val="21"/>
                <w:highlight w:val="none"/>
                <w:lang w:val="en-US" w:eastAsia="zh-CN"/>
              </w:rPr>
            </w:pP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5.2.1　总体设计</w:t>
            </w:r>
          </w:p>
        </w:tc>
        <w:tc>
          <w:tcPr>
            <w:tcW w:w="2060"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cs="Times New Roman"/>
                <w:color w:val="auto"/>
                <w:sz w:val="21"/>
                <w:szCs w:val="21"/>
                <w:highlight w:val="none"/>
                <w:lang w:eastAsia="zh-CN"/>
              </w:rPr>
            </w:pPr>
            <w:r>
              <w:rPr>
                <w:rFonts w:hint="default" w:ascii="Times New Roman" w:hAnsi="Times New Roman" w:eastAsia="宋体" w:cs="Times New Roman"/>
                <w:szCs w:val="21"/>
                <w:highlight w:val="none"/>
                <w:lang w:val="en-US" w:eastAsia="zh-CN"/>
              </w:rPr>
              <w:t>5.2.1.1　</w:t>
            </w:r>
            <w:r>
              <w:rPr>
                <w:rFonts w:hint="default" w:ascii="Times New Roman" w:hAnsi="Times New Roman" w:cs="Times New Roman"/>
                <w:color w:val="auto"/>
                <w:sz w:val="21"/>
                <w:szCs w:val="21"/>
                <w:highlight w:val="none"/>
              </w:rPr>
              <w:t>产品主要由炉体、真空系统、加热系统、电源、冷却系统、</w:t>
            </w:r>
            <w:r>
              <w:rPr>
                <w:rFonts w:hint="eastAsia" w:ascii="Times New Roman" w:hAnsi="Times New Roman" w:cs="Times New Roman"/>
                <w:color w:val="auto"/>
                <w:sz w:val="21"/>
                <w:szCs w:val="21"/>
                <w:highlight w:val="none"/>
                <w:lang w:eastAsia="zh-CN"/>
              </w:rPr>
              <w:t>双向锻造</w:t>
            </w:r>
            <w:r>
              <w:rPr>
                <w:rFonts w:hint="default" w:ascii="Times New Roman" w:hAnsi="Times New Roman" w:cs="Times New Roman"/>
                <w:color w:val="auto"/>
                <w:sz w:val="21"/>
                <w:szCs w:val="21"/>
                <w:highlight w:val="none"/>
              </w:rPr>
              <w:t>系统、控制系统等组成</w:t>
            </w:r>
            <w:r>
              <w:rPr>
                <w:rFonts w:hint="default" w:ascii="Times New Roman" w:hAnsi="Times New Roman" w:cs="Times New Roman"/>
                <w:color w:val="auto"/>
                <w:sz w:val="21"/>
                <w:szCs w:val="21"/>
                <w:highlight w:val="none"/>
                <w:lang w:eastAsia="zh-CN"/>
              </w:rPr>
              <w:t>。</w:t>
            </w:r>
          </w:p>
          <w:p>
            <w:pPr>
              <w:keepNext w:val="0"/>
              <w:keepLines w:val="0"/>
              <w:suppressLineNumbers w:val="0"/>
              <w:spacing w:before="0" w:beforeAutospacing="0" w:after="0" w:afterAutospacing="0"/>
              <w:ind w:left="0" w:leftChars="0" w:right="0" w:rightChars="0"/>
              <w:jc w:val="left"/>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szCs w:val="21"/>
                <w:highlight w:val="none"/>
                <w:lang w:val="en-US" w:eastAsia="zh-CN"/>
              </w:rPr>
              <w:t>5.2.1.2　</w:t>
            </w:r>
            <w:r>
              <w:rPr>
                <w:rFonts w:hint="default" w:ascii="Times New Roman" w:hAnsi="Times New Roman" w:cs="Times New Roman"/>
                <w:color w:val="auto"/>
                <w:sz w:val="21"/>
                <w:szCs w:val="21"/>
                <w:highlight w:val="none"/>
              </w:rPr>
              <w:t>在加热前，真空系统应能把炉室抽到预定的压力。在加热阶段，输入功率应能调节。在冷却阶段，炉料在加热室内应能在不同</w:t>
            </w:r>
            <w:r>
              <w:rPr>
                <w:rFonts w:hint="default" w:ascii="Times New Roman" w:hAnsi="Times New Roman" w:cs="Times New Roman"/>
                <w:color w:val="auto"/>
                <w:sz w:val="21"/>
                <w:szCs w:val="21"/>
                <w:highlight w:val="none"/>
                <w:lang w:eastAsia="zh-CN"/>
              </w:rPr>
              <w:t>真空度</w:t>
            </w:r>
            <w:r>
              <w:rPr>
                <w:rFonts w:hint="default" w:ascii="Times New Roman" w:hAnsi="Times New Roman" w:cs="Times New Roman"/>
                <w:color w:val="auto"/>
                <w:sz w:val="21"/>
                <w:szCs w:val="21"/>
                <w:highlight w:val="none"/>
              </w:rPr>
              <w:t>下</w:t>
            </w:r>
            <w:r>
              <w:rPr>
                <w:rFonts w:hint="default" w:ascii="Times New Roman" w:hAnsi="Times New Roman" w:cs="Times New Roman"/>
                <w:color w:val="auto"/>
                <w:sz w:val="21"/>
                <w:szCs w:val="21"/>
                <w:highlight w:val="none"/>
                <w:lang w:eastAsia="zh-CN"/>
              </w:rPr>
              <w:t>或</w:t>
            </w:r>
            <w:r>
              <w:rPr>
                <w:rFonts w:hint="default" w:ascii="Times New Roman" w:hAnsi="Times New Roman" w:cs="Times New Roman"/>
                <w:color w:val="auto"/>
                <w:sz w:val="21"/>
                <w:szCs w:val="21"/>
                <w:highlight w:val="none"/>
              </w:rPr>
              <w:t>惰性气体中冷却</w:t>
            </w:r>
            <w:r>
              <w:rPr>
                <w:rFonts w:hint="default" w:ascii="Times New Roman" w:hAnsi="Times New Roman" w:cs="Times New Roman"/>
                <w:color w:val="auto"/>
                <w:sz w:val="21"/>
                <w:szCs w:val="21"/>
                <w:highlight w:val="none"/>
                <w:lang w:eastAsia="zh-CN"/>
              </w:rPr>
              <w:t>。</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cs="Times New Roman"/>
                <w:color w:val="auto"/>
                <w:sz w:val="21"/>
                <w:szCs w:val="21"/>
                <w:highlight w:val="none"/>
                <w:lang w:eastAsia="zh-CN"/>
              </w:rPr>
            </w:pPr>
            <w:r>
              <w:rPr>
                <w:rFonts w:hint="default" w:ascii="Times New Roman" w:hAnsi="Times New Roman" w:eastAsia="宋体" w:cs="Times New Roman"/>
                <w:kern w:val="2"/>
                <w:sz w:val="21"/>
                <w:szCs w:val="21"/>
                <w:highlight w:val="none"/>
                <w:lang w:val="en-US" w:eastAsia="zh-CN" w:bidi="ar-SA"/>
              </w:rPr>
              <w:t>5.2.1.1 真空炉</w:t>
            </w:r>
            <w:r>
              <w:rPr>
                <w:rFonts w:hint="default" w:ascii="Times New Roman" w:hAnsi="Times New Roman" w:cs="Times New Roman"/>
                <w:color w:val="auto"/>
                <w:sz w:val="21"/>
                <w:szCs w:val="21"/>
                <w:highlight w:val="none"/>
              </w:rPr>
              <w:t>主要由炉体、真空系统、加热系统、电源、</w:t>
            </w:r>
            <w:r>
              <w:rPr>
                <w:rFonts w:hint="default" w:ascii="Times New Roman" w:hAnsi="Times New Roman" w:cs="Times New Roman"/>
                <w:color w:val="auto"/>
                <w:sz w:val="21"/>
                <w:szCs w:val="21"/>
                <w:highlight w:val="none"/>
                <w:lang w:eastAsia="zh-CN"/>
              </w:rPr>
              <w:t>防爆</w:t>
            </w:r>
            <w:r>
              <w:rPr>
                <w:rFonts w:hint="default" w:ascii="Times New Roman" w:hAnsi="Times New Roman" w:cs="Times New Roman"/>
                <w:color w:val="auto"/>
                <w:sz w:val="21"/>
                <w:szCs w:val="21"/>
                <w:highlight w:val="none"/>
              </w:rPr>
              <w:t>系统、控制系统等组成</w:t>
            </w:r>
            <w:r>
              <w:rPr>
                <w:rFonts w:hint="default" w:ascii="Times New Roman" w:hAnsi="Times New Roman" w:cs="Times New Roman"/>
                <w:color w:val="auto"/>
                <w:sz w:val="21"/>
                <w:szCs w:val="21"/>
                <w:highlight w:val="none"/>
                <w:lang w:eastAsia="zh-CN"/>
              </w:rPr>
              <w:t>。</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5.2.1.2 卧式真空炉的炉体端部开口，在水平方向进料和出料，加热室底部有支撑炉料的底架，立式真空炉炉体在上端部或下端部开口，在水平方向装料和出料，在垂直方向进料，加热室底部有支承炉料的底架。</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5.2.1.3 在真空炉加热前，真空系统应能把炉室抽到预定的压力。在加热阶段，输人功率应能调节在冷却阶段，炉料在加热室内应能在不同压力下和中性气体(包括性气体，下同)中冷却。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5.2.2　材料</w:t>
            </w:r>
          </w:p>
        </w:tc>
        <w:tc>
          <w:tcPr>
            <w:tcW w:w="2060"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color w:val="auto"/>
                <w:sz w:val="21"/>
                <w:szCs w:val="21"/>
                <w:highlight w:val="none"/>
              </w:rPr>
              <w:t>所有处于加热室内部的材料应适用于设计规定的气氛、压力和温度。各种材料在工作温度下对产品自身不造成损坏</w:t>
            </w:r>
            <w:r>
              <w:rPr>
                <w:rFonts w:hint="default" w:ascii="Times New Roman" w:hAnsi="Times New Roman" w:cs="Times New Roman"/>
                <w:color w:val="auto"/>
                <w:sz w:val="21"/>
                <w:szCs w:val="21"/>
                <w:highlight w:val="none"/>
                <w:lang w:eastAsia="zh-CN"/>
              </w:rPr>
              <w:t>。</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所有处于加热室内部的材料应适应于设计规定的气氛、压力和温度。各种材料在工作温度下对真空炉自身不造成损坏。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5.2.3　炉壳</w:t>
            </w:r>
          </w:p>
        </w:tc>
        <w:tc>
          <w:tcPr>
            <w:tcW w:w="2060"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color w:val="auto"/>
                <w:sz w:val="21"/>
                <w:szCs w:val="21"/>
                <w:highlight w:val="none"/>
              </w:rPr>
              <w:t>炉壳应采用双层水冷壁结构。炉壳内表面应光洁平滑、内壁可用抗氧化材料制成，也可用普通碳素钢，但应抛光</w:t>
            </w:r>
            <w:r>
              <w:rPr>
                <w:rFonts w:hint="default" w:ascii="Times New Roman" w:hAnsi="Times New Roman" w:cs="Times New Roman"/>
                <w:color w:val="auto"/>
                <w:sz w:val="21"/>
                <w:szCs w:val="21"/>
                <w:highlight w:val="none"/>
                <w:lang w:eastAsia="zh-CN"/>
              </w:rPr>
              <w:t>。</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炉壳应采用双层水冷壁结构。炉壳内表面应光洁平滑。内壁可用抗氧化材料制成，也可用普通碳素钢，但应该抛光。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5.2.4　炉门</w:t>
            </w:r>
          </w:p>
        </w:tc>
        <w:tc>
          <w:tcPr>
            <w:tcW w:w="2060"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color w:val="auto"/>
                <w:sz w:val="21"/>
                <w:szCs w:val="21"/>
                <w:highlight w:val="none"/>
              </w:rPr>
              <w:t>炉门应能在</w:t>
            </w:r>
            <w:r>
              <w:rPr>
                <w:rFonts w:hint="default" w:ascii="Times New Roman" w:hAnsi="Times New Roman" w:cs="Times New Roman"/>
                <w:color w:val="auto"/>
                <w:sz w:val="21"/>
                <w:szCs w:val="21"/>
                <w:highlight w:val="none"/>
                <w:lang w:eastAsia="zh-CN"/>
              </w:rPr>
              <w:t>垂直或</w:t>
            </w:r>
            <w:r>
              <w:rPr>
                <w:rFonts w:hint="default" w:ascii="Times New Roman" w:hAnsi="Times New Roman" w:cs="Times New Roman"/>
                <w:color w:val="auto"/>
                <w:sz w:val="21"/>
                <w:szCs w:val="21"/>
                <w:highlight w:val="none"/>
              </w:rPr>
              <w:t>水平方向滑动或旋开</w:t>
            </w:r>
            <w:r>
              <w:rPr>
                <w:rFonts w:hint="default" w:ascii="Times New Roman" w:hAnsi="Times New Roman" w:cs="Times New Roman"/>
                <w:color w:val="auto"/>
                <w:sz w:val="21"/>
                <w:szCs w:val="21"/>
                <w:highlight w:val="none"/>
                <w:lang w:eastAsia="zh-CN"/>
              </w:rPr>
              <w:t>。</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除另有要求外(见 9.2)，卧式炉的炉门可支承在炉壳的左侧而从右往左打开，也可采用其他结构。立式炉的炉门应能在水平方向滑动或旋开。炉门上应有玻璃观察窗。当对炉门有特殊要求时，可按 9.2提出。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5.2.5　加热系统</w:t>
            </w:r>
          </w:p>
        </w:tc>
        <w:tc>
          <w:tcPr>
            <w:tcW w:w="2060"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5.2.5.1 加热区应围以绝热屏，绝热屏应为各种保温材料或金属屏。所用的材料应是耐高温的，在工作中不下垂、开裂或剥离。</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5.2.5.2 炉体应采用其性能与产品工作条件相适应的材料制成。在整个工作温度范围内，炉体应能承受最大装载量而不损坏或无明显变形。对局部易高温并且操作人员易接近的部位应加以防护并加以警示。</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5.2.5.3 在炉体上应配备供测量炉温均匀性用的热电偶引出装置。</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真空炉的加热区应围以绝热屏，绝热屏应为各种保温材料或金属屏。所用的材料应是耐热的，在工作中不下垂、开裂或剥离。</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炉床应采用其性能与真空炉工作条件相适应的材料制成。在真空炉的整个工作温度范围内，炉床应能承受最大装载盘而不损坏或无明显变形。当要求为真空炉配备进出料装置时，可按9.2提出在炉壳体上应配备供测量炉温均匀性用的热电偶引出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5.2.6　温控系统</w:t>
            </w:r>
          </w:p>
        </w:tc>
        <w:tc>
          <w:tcPr>
            <w:tcW w:w="2060"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根据设定温度和实测温度，由温控系统自动调节发热体的电流和电压，实现炉内有效工作区的温度控制。</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5.2.7　循环水冷却系统</w:t>
            </w:r>
          </w:p>
        </w:tc>
        <w:tc>
          <w:tcPr>
            <w:tcW w:w="2060"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采用循环水冷却系统，应能使炉体、压头和电极温升不超过相关要求。</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水冷系统应能使炉壳的简体、封头和炉门的表面温升不超过5.3.3的规定。对局部超过并且操作人员易接近的部位应加以防护并加以警示。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5.2.8　真空系统</w:t>
            </w:r>
          </w:p>
        </w:tc>
        <w:tc>
          <w:tcPr>
            <w:tcW w:w="2060"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真空系统由真空泵、管道、阀门、冷阱、波纹管、控制系统、真空计等组成。系统中应装有自动阀门，以便在泵突然停止运转或发生停电时自动关闭，并将大气放入前级机械泵腔中，防止真空泵油逆流污染真空系统。</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真空炉的真空系统由真空泵、管道、阀门、冷阱、波纹管、控制系统、真空计等组成。系统中应装有自动阀门，以便在泵突然停止运转或发生停电时自动关闭，并将大气放人前级机械泵腔中，防止真空泵油逆流污染真空系统。当要求在系统中配备粉尘捕集器或过滤器时，可按 9.2提出。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5.2.</w:t>
            </w:r>
            <w:r>
              <w:rPr>
                <w:rFonts w:hint="eastAsia" w:ascii="Times New Roman" w:hAnsi="Times New Roman" w:eastAsia="宋体" w:cs="Times New Roman"/>
                <w:szCs w:val="21"/>
                <w:highlight w:val="none"/>
                <w:lang w:val="en-US" w:eastAsia="zh-CN"/>
              </w:rPr>
              <w:t>9</w:t>
            </w:r>
            <w:r>
              <w:rPr>
                <w:rFonts w:hint="default" w:ascii="Times New Roman" w:hAnsi="Times New Roman" w:eastAsia="宋体" w:cs="Times New Roman"/>
                <w:szCs w:val="21"/>
                <w:highlight w:val="none"/>
                <w:lang w:val="en-US" w:eastAsia="zh-CN"/>
              </w:rPr>
              <w:t>　</w:t>
            </w:r>
            <w:r>
              <w:rPr>
                <w:rFonts w:hint="eastAsia" w:ascii="Times New Roman"/>
                <w:color w:val="auto"/>
                <w:sz w:val="21"/>
                <w:szCs w:val="21"/>
                <w:highlight w:val="none"/>
              </w:rPr>
              <w:t>双向锻造</w:t>
            </w:r>
            <w:r>
              <w:rPr>
                <w:rFonts w:ascii="Times New Roman"/>
                <w:color w:val="auto"/>
                <w:sz w:val="21"/>
                <w:szCs w:val="21"/>
                <w:highlight w:val="none"/>
              </w:rPr>
              <w:t>系统</w:t>
            </w:r>
          </w:p>
        </w:tc>
        <w:tc>
          <w:tcPr>
            <w:tcW w:w="2060" w:type="pct"/>
            <w:vAlign w:val="center"/>
          </w:tcPr>
          <w:p>
            <w:pPr>
              <w:pStyle w:val="14"/>
              <w:ind w:left="0" w:leftChars="0" w:firstLine="0" w:firstLineChars="0"/>
              <w:rPr>
                <w:rFonts w:hint="default" w:ascii="Times New Roman" w:hAnsi="Times New Roman" w:eastAsia="宋体" w:cs="Times New Roman"/>
                <w:szCs w:val="21"/>
                <w:highlight w:val="none"/>
                <w:lang w:val="en-US" w:eastAsia="zh-CN"/>
              </w:rPr>
            </w:pPr>
            <w:r>
              <w:rPr>
                <w:rFonts w:hint="eastAsia" w:ascii="Times New Roman"/>
                <w:color w:val="auto"/>
                <w:sz w:val="21"/>
                <w:szCs w:val="21"/>
                <w:highlight w:val="none"/>
              </w:rPr>
              <w:t>双向锻造</w:t>
            </w:r>
            <w:r>
              <w:rPr>
                <w:rFonts w:ascii="Times New Roman"/>
                <w:color w:val="auto"/>
                <w:sz w:val="21"/>
                <w:szCs w:val="21"/>
                <w:highlight w:val="none"/>
              </w:rPr>
              <w:t>系统由</w:t>
            </w:r>
            <w:r>
              <w:rPr>
                <w:rFonts w:hint="eastAsia" w:ascii="Times New Roman"/>
                <w:color w:val="auto"/>
                <w:sz w:val="21"/>
                <w:szCs w:val="21"/>
                <w:highlight w:val="none"/>
                <w:lang w:eastAsia="zh-CN"/>
              </w:rPr>
              <w:t>液压系统</w:t>
            </w:r>
            <w:r>
              <w:rPr>
                <w:rFonts w:ascii="Times New Roman"/>
                <w:color w:val="auto"/>
                <w:sz w:val="21"/>
                <w:szCs w:val="21"/>
                <w:highlight w:val="none"/>
              </w:rPr>
              <w:t>、管道、</w:t>
            </w:r>
            <w:r>
              <w:rPr>
                <w:rFonts w:hint="eastAsia" w:ascii="Times New Roman"/>
                <w:color w:val="auto"/>
                <w:sz w:val="21"/>
                <w:szCs w:val="21"/>
                <w:highlight w:val="none"/>
                <w:lang w:eastAsia="zh-CN"/>
              </w:rPr>
              <w:t>伺服阀</w:t>
            </w:r>
            <w:r>
              <w:rPr>
                <w:rFonts w:ascii="Times New Roman"/>
                <w:color w:val="auto"/>
                <w:sz w:val="21"/>
                <w:szCs w:val="21"/>
                <w:highlight w:val="none"/>
              </w:rPr>
              <w:t>、</w:t>
            </w:r>
            <w:r>
              <w:rPr>
                <w:rFonts w:hint="eastAsia" w:ascii="Times New Roman"/>
                <w:color w:val="auto"/>
                <w:sz w:val="21"/>
                <w:szCs w:val="21"/>
                <w:highlight w:val="none"/>
                <w:lang w:eastAsia="zh-CN"/>
              </w:rPr>
              <w:t>压头</w:t>
            </w:r>
            <w:r>
              <w:rPr>
                <w:rFonts w:ascii="Times New Roman"/>
                <w:color w:val="auto"/>
                <w:sz w:val="21"/>
                <w:szCs w:val="21"/>
                <w:highlight w:val="none"/>
              </w:rPr>
              <w:t>等组成。</w:t>
            </w:r>
            <w:r>
              <w:rPr>
                <w:rFonts w:hint="eastAsia" w:ascii="Times New Roman"/>
                <w:color w:val="auto"/>
                <w:sz w:val="21"/>
                <w:szCs w:val="21"/>
                <w:highlight w:val="none"/>
                <w:lang w:eastAsia="zh-CN"/>
              </w:rPr>
              <w:t>可以按压头方向双向施加压力，压力可为恒定压力、交变压力或恒定压力和交变压力的叠加压力，如图</w:t>
            </w:r>
            <w:r>
              <w:rPr>
                <w:rFonts w:hint="eastAsia" w:ascii="Times New Roman"/>
                <w:color w:val="auto"/>
                <w:sz w:val="21"/>
                <w:szCs w:val="21"/>
                <w:highlight w:val="none"/>
                <w:lang w:val="en-US" w:eastAsia="zh-CN"/>
              </w:rPr>
              <w:t xml:space="preserve"> 2 所示</w:t>
            </w:r>
            <w:r>
              <w:rPr>
                <w:rFonts w:hint="default" w:ascii="Times New Roman" w:hAnsi="Times New Roman" w:cs="Times New Roman"/>
                <w:color w:val="auto"/>
                <w:sz w:val="21"/>
                <w:szCs w:val="21"/>
                <w:highlight w:val="none"/>
              </w:rPr>
              <w:t>。</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5.2.</w:t>
            </w:r>
            <w:r>
              <w:rPr>
                <w:rFonts w:hint="eastAsia" w:ascii="Times New Roman" w:hAnsi="Times New Roman" w:eastAsia="宋体" w:cs="Times New Roman"/>
                <w:szCs w:val="21"/>
                <w:highlight w:val="none"/>
                <w:lang w:val="en-US" w:eastAsia="zh-CN"/>
              </w:rPr>
              <w:t>10</w:t>
            </w:r>
            <w:r>
              <w:rPr>
                <w:rFonts w:hint="default" w:ascii="Times New Roman" w:hAnsi="Times New Roman" w:eastAsia="宋体" w:cs="Times New Roman"/>
                <w:szCs w:val="21"/>
                <w:highlight w:val="none"/>
                <w:lang w:val="en-US" w:eastAsia="zh-CN"/>
              </w:rPr>
              <w:t>　测量、控制和记录</w:t>
            </w:r>
          </w:p>
        </w:tc>
        <w:tc>
          <w:tcPr>
            <w:tcW w:w="2060"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5.2.</w:t>
            </w:r>
            <w:r>
              <w:rPr>
                <w:rFonts w:hint="eastAsia" w:ascii="Times New Roman" w:hAnsi="Times New Roman" w:eastAsia="宋体" w:cs="Times New Roman"/>
                <w:szCs w:val="21"/>
                <w:highlight w:val="none"/>
                <w:lang w:val="en-US" w:eastAsia="zh-CN"/>
              </w:rPr>
              <w:t>10</w:t>
            </w:r>
            <w:r>
              <w:rPr>
                <w:rFonts w:hint="default" w:ascii="Times New Roman" w:hAnsi="Times New Roman" w:eastAsia="宋体" w:cs="Times New Roman"/>
                <w:szCs w:val="21"/>
                <w:highlight w:val="none"/>
                <w:lang w:val="en-US" w:eastAsia="zh-CN"/>
              </w:rPr>
              <w:t xml:space="preserve">.1 </w:t>
            </w:r>
            <w:r>
              <w:rPr>
                <w:rFonts w:hint="default" w:ascii="Times New Roman" w:hAnsi="Times New Roman" w:eastAsia="宋体" w:cs="Times New Roman"/>
                <w:kern w:val="2"/>
                <w:sz w:val="21"/>
                <w:szCs w:val="21"/>
                <w:highlight w:val="none"/>
                <w:lang w:val="en-US" w:eastAsia="zh-CN" w:bidi="ar-SA"/>
              </w:rPr>
              <w:t>测量、控制和记录应符合 GB/T 10067.4-2005 中的相关规定。</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5.2.</w:t>
            </w:r>
            <w:r>
              <w:rPr>
                <w:rFonts w:hint="eastAsia" w:ascii="Times New Roman" w:hAnsi="Times New Roman" w:eastAsia="宋体" w:cs="Times New Roman"/>
                <w:szCs w:val="21"/>
                <w:highlight w:val="none"/>
                <w:lang w:val="en-US" w:eastAsia="zh-CN"/>
              </w:rPr>
              <w:t>10</w:t>
            </w:r>
            <w:r>
              <w:rPr>
                <w:rFonts w:hint="default" w:ascii="Times New Roman" w:hAnsi="Times New Roman" w:eastAsia="宋体" w:cs="Times New Roman"/>
                <w:szCs w:val="21"/>
                <w:highlight w:val="none"/>
                <w:lang w:val="en-US" w:eastAsia="zh-CN"/>
              </w:rPr>
              <w:t xml:space="preserve">.2 </w:t>
            </w:r>
            <w:r>
              <w:rPr>
                <w:rFonts w:hint="default" w:ascii="Times New Roman" w:hAnsi="Times New Roman" w:eastAsia="宋体" w:cs="Times New Roman"/>
                <w:kern w:val="2"/>
                <w:sz w:val="21"/>
                <w:szCs w:val="21"/>
                <w:highlight w:val="none"/>
                <w:lang w:val="en-US" w:eastAsia="zh-CN" w:bidi="ar-SA"/>
              </w:rPr>
              <w:t>控制系统可以是磁性调压器或晶闸管型式，具有陡降的外特性，应能限制输入功率不超过所要求的最大值。</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5.2.</w:t>
            </w:r>
            <w:r>
              <w:rPr>
                <w:rFonts w:hint="eastAsia" w:ascii="Times New Roman" w:hAnsi="Times New Roman" w:eastAsia="宋体" w:cs="Times New Roman"/>
                <w:szCs w:val="21"/>
                <w:highlight w:val="none"/>
                <w:lang w:val="en-US" w:eastAsia="zh-CN"/>
              </w:rPr>
              <w:t>10</w:t>
            </w:r>
            <w:r>
              <w:rPr>
                <w:rFonts w:hint="default" w:ascii="Times New Roman" w:hAnsi="Times New Roman" w:eastAsia="宋体" w:cs="Times New Roman"/>
                <w:szCs w:val="21"/>
                <w:highlight w:val="none"/>
                <w:lang w:val="en-US" w:eastAsia="zh-CN"/>
              </w:rPr>
              <w:t xml:space="preserve">.3 </w:t>
            </w:r>
            <w:r>
              <w:rPr>
                <w:rFonts w:hint="default" w:ascii="Times New Roman" w:hAnsi="Times New Roman" w:eastAsia="宋体" w:cs="Times New Roman"/>
                <w:kern w:val="2"/>
                <w:sz w:val="21"/>
                <w:szCs w:val="21"/>
                <w:highlight w:val="none"/>
                <w:lang w:val="en-US" w:eastAsia="zh-CN" w:bidi="ar-SA"/>
              </w:rPr>
              <w:t>产品应配备温度给定精度不低于0.1%，分辨率不低于1℃的微处理器数字显示式控温仪表。仪表应备有外界模拟发送端口，以便连接记录仪。</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5.2.</w:t>
            </w:r>
            <w:r>
              <w:rPr>
                <w:rFonts w:hint="eastAsia" w:ascii="Times New Roman" w:hAnsi="Times New Roman" w:eastAsia="宋体" w:cs="Times New Roman"/>
                <w:szCs w:val="21"/>
                <w:highlight w:val="none"/>
                <w:lang w:val="en-US" w:eastAsia="zh-CN"/>
              </w:rPr>
              <w:t>10</w:t>
            </w:r>
            <w:r>
              <w:rPr>
                <w:rFonts w:hint="default" w:ascii="Times New Roman" w:hAnsi="Times New Roman" w:eastAsia="宋体" w:cs="Times New Roman"/>
                <w:szCs w:val="21"/>
                <w:highlight w:val="none"/>
                <w:lang w:val="en-US" w:eastAsia="zh-CN"/>
              </w:rPr>
              <w:t xml:space="preserve">.4 </w:t>
            </w:r>
            <w:r>
              <w:rPr>
                <w:rFonts w:hint="default" w:ascii="Times New Roman" w:hAnsi="Times New Roman" w:eastAsia="宋体" w:cs="Times New Roman"/>
                <w:kern w:val="2"/>
                <w:sz w:val="21"/>
                <w:szCs w:val="21"/>
                <w:highlight w:val="none"/>
                <w:lang w:val="en-US" w:eastAsia="zh-CN" w:bidi="ar-SA"/>
              </w:rPr>
              <w:t>产品应配备数字显示复合真空仪表（电阻式+电离式），其范围应从10</w:t>
            </w:r>
            <w:r>
              <w:rPr>
                <w:rFonts w:hint="default" w:ascii="Times New Roman" w:hAnsi="Times New Roman" w:eastAsia="宋体" w:cs="Times New Roman"/>
                <w:kern w:val="2"/>
                <w:sz w:val="21"/>
                <w:szCs w:val="21"/>
                <w:highlight w:val="none"/>
                <w:vertAlign w:val="superscript"/>
                <w:lang w:val="en-US" w:eastAsia="zh-CN" w:bidi="ar-SA"/>
              </w:rPr>
              <w:t>5</w:t>
            </w:r>
            <w:r>
              <w:rPr>
                <w:rFonts w:hint="default" w:ascii="Times New Roman" w:hAnsi="Times New Roman" w:eastAsia="宋体" w:cs="Times New Roman"/>
                <w:kern w:val="2"/>
                <w:sz w:val="21"/>
                <w:szCs w:val="21"/>
                <w:highlight w:val="none"/>
                <w:lang w:val="en-US" w:eastAsia="zh-CN" w:bidi="ar-SA"/>
              </w:rPr>
              <w:t xml:space="preserve"> Pa到10</w:t>
            </w:r>
            <w:r>
              <w:rPr>
                <w:rFonts w:hint="default" w:ascii="Times New Roman" w:hAnsi="Times New Roman" w:eastAsia="宋体" w:cs="Times New Roman"/>
                <w:kern w:val="2"/>
                <w:sz w:val="21"/>
                <w:szCs w:val="21"/>
                <w:highlight w:val="none"/>
                <w:vertAlign w:val="superscript"/>
                <w:lang w:val="en-US" w:eastAsia="zh-CN" w:bidi="ar-SA"/>
              </w:rPr>
              <w:t>-5</w:t>
            </w:r>
            <w:r>
              <w:rPr>
                <w:rFonts w:hint="default" w:ascii="Times New Roman" w:hAnsi="Times New Roman" w:eastAsia="宋体" w:cs="Times New Roman"/>
                <w:kern w:val="2"/>
                <w:sz w:val="21"/>
                <w:szCs w:val="21"/>
                <w:highlight w:val="none"/>
                <w:lang w:val="en-US" w:eastAsia="zh-CN" w:bidi="ar-SA"/>
              </w:rPr>
              <w:t xml:space="preserve"> Pa。</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5.2.</w:t>
            </w:r>
            <w:r>
              <w:rPr>
                <w:rFonts w:hint="eastAsia" w:ascii="Times New Roman" w:hAnsi="Times New Roman" w:eastAsia="宋体" w:cs="Times New Roman"/>
                <w:szCs w:val="21"/>
                <w:highlight w:val="none"/>
                <w:lang w:val="en-US" w:eastAsia="zh-CN"/>
              </w:rPr>
              <w:t>10</w:t>
            </w:r>
            <w:r>
              <w:rPr>
                <w:rFonts w:hint="default" w:ascii="Times New Roman" w:hAnsi="Times New Roman" w:eastAsia="宋体" w:cs="Times New Roman"/>
                <w:szCs w:val="21"/>
                <w:highlight w:val="none"/>
                <w:lang w:val="en-US" w:eastAsia="zh-CN"/>
              </w:rPr>
              <w:t xml:space="preserve">.5 </w:t>
            </w:r>
            <w:r>
              <w:rPr>
                <w:rFonts w:hint="default" w:ascii="Times New Roman" w:hAnsi="Times New Roman" w:eastAsia="宋体" w:cs="Times New Roman"/>
                <w:kern w:val="2"/>
                <w:sz w:val="21"/>
                <w:szCs w:val="21"/>
                <w:highlight w:val="none"/>
                <w:lang w:val="en-US" w:eastAsia="zh-CN" w:bidi="ar-SA"/>
              </w:rPr>
              <w:t>产品应配备程序控制器，以供编程，并按所编程自动地控制真空、加热和冷却的全过程。</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5.2.</w:t>
            </w:r>
            <w:r>
              <w:rPr>
                <w:rFonts w:hint="eastAsia" w:ascii="Times New Roman" w:hAnsi="Times New Roman" w:eastAsia="宋体" w:cs="Times New Roman"/>
                <w:szCs w:val="21"/>
                <w:highlight w:val="none"/>
                <w:lang w:val="en-US" w:eastAsia="zh-CN"/>
              </w:rPr>
              <w:t>10</w:t>
            </w:r>
            <w:r>
              <w:rPr>
                <w:rFonts w:hint="default" w:ascii="Times New Roman" w:hAnsi="Times New Roman" w:eastAsia="宋体" w:cs="Times New Roman"/>
                <w:szCs w:val="21"/>
                <w:highlight w:val="none"/>
                <w:lang w:val="en-US" w:eastAsia="zh-CN"/>
              </w:rPr>
              <w:t xml:space="preserve">.6 </w:t>
            </w:r>
            <w:r>
              <w:rPr>
                <w:rFonts w:hint="default" w:ascii="Times New Roman" w:hAnsi="Times New Roman" w:eastAsia="宋体" w:cs="Times New Roman"/>
                <w:kern w:val="2"/>
                <w:sz w:val="21"/>
                <w:szCs w:val="21"/>
                <w:highlight w:val="none"/>
                <w:lang w:val="en-US" w:eastAsia="zh-CN" w:bidi="ar-SA"/>
              </w:rPr>
              <w:t>产品应配备落地式、在制造厂接好线的控制装置，用来安装仪表和控制元器件等。控制系统中至少应有两套熔断器或断路器：一套用于加热元件的供电，另一套用于泵、电动机和控制系统的供电。应有模拟屏以指示运行情况。所有控制线缆都应该封装在电缆桥架盒内或镀锌金属穿线软管内，无法封装的线缆应用绝缘材料绝缘并配有显著的警示标志。</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5.2.9.1 真空炉的测量，控制和记录应符合GB/T10067.4-1998中5.2.7中除5.2.7.4和5.2.7.6的各项规定和以下补充规定。</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5.2.9.2 炉温控制系统可以是磁性调压器或晶闸管型式，具有陡降的外特性，控制系统应能限制输人功率不超过所要求的最大值。</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真空炉应配备温度给定精度不低于 0.1%，分辨率不低于1℃的微处理器数字显示式控温仪表。仪表应备有外接模拟发送端口，以便连接记录仪。</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5.2.9.3 真空炉应配备数字显示式真空仪表，其范围应从10</w:t>
            </w:r>
            <w:r>
              <w:rPr>
                <w:rFonts w:hint="eastAsia" w:ascii="Times New Roman" w:hAnsi="Times New Roman" w:eastAsia="宋体" w:cs="Times New Roman"/>
                <w:kern w:val="2"/>
                <w:sz w:val="21"/>
                <w:szCs w:val="21"/>
                <w:highlight w:val="none"/>
                <w:lang w:val="en-US" w:eastAsia="zh-CN" w:bidi="ar-SA"/>
              </w:rPr>
              <w:t xml:space="preserve"> </w:t>
            </w:r>
            <w:r>
              <w:rPr>
                <w:rFonts w:hint="default" w:ascii="Times New Roman" w:hAnsi="Times New Roman" w:eastAsia="宋体" w:cs="Times New Roman"/>
                <w:kern w:val="2"/>
                <w:sz w:val="21"/>
                <w:szCs w:val="21"/>
                <w:highlight w:val="none"/>
                <w:lang w:val="en-US" w:eastAsia="zh-CN" w:bidi="ar-SA"/>
              </w:rPr>
              <w:t>Pa到极限压力</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5.2.9.4 压力和温度记录仪表应当配备打印式或无纸式记录仪。</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5.2.9.5 真空炉应配备程序控制器，以供编程，并按所编程序自动地控制真空、加热和冷却的全过程。每台真空炉应能在加热时，在任何设定温度下通过充人保护性气体把炉室内压力提高到所要求的值。加热速率和时间应可调。加热后的冷却过程应符合5.2.7要求。</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控制系统应配备微处理器或可编程序控制器，以便在真空炉设计规定范围内有最大的控制灵活性微处理器或可编程序控制器应具有不少于60个读写随机存取记忆程序段，程序可用键盘输人。除自动控制系统外，真空炉还应配有手动控制系统，以备试验时或紧急情况下使用。</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5.2.9.6 真空炉应配备落地式、在制造厂接好线(仪表可除外)的控制装置，用来安装仪表和控制元器件等。控制系统中至少应有两套熔断器或断路器:一套用于加热元件的供电，另一套用于泵、电动机和控制系统的供电。应有模拟屏以指示真空炉的运行情况。所有控制线缆都应该封装在电缆桥架盒内或镀锌金属穿线软管内，无法封装的线缆应该用绝缘材料绝缘并配有显著的警示标志。当要求为控制装置配备振动吸收装置时，可按 9.2提出。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5.2.1</w:t>
            </w:r>
            <w:r>
              <w:rPr>
                <w:rFonts w:hint="eastAsia" w:ascii="Times New Roman" w:hAnsi="Times New Roman" w:eastAsia="宋体" w:cs="Times New Roman"/>
                <w:szCs w:val="21"/>
                <w:highlight w:val="none"/>
                <w:lang w:val="en-US" w:eastAsia="zh-CN"/>
              </w:rPr>
              <w:t>1</w:t>
            </w:r>
            <w:r>
              <w:rPr>
                <w:rFonts w:hint="default" w:ascii="Times New Roman" w:hAnsi="Times New Roman" w:eastAsia="宋体" w:cs="Times New Roman"/>
                <w:szCs w:val="21"/>
                <w:highlight w:val="none"/>
                <w:lang w:val="en-US" w:eastAsia="zh-CN"/>
              </w:rPr>
              <w:t>　充放气系统</w:t>
            </w:r>
          </w:p>
        </w:tc>
        <w:tc>
          <w:tcPr>
            <w:tcW w:w="2060"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5.2.1</w:t>
            </w:r>
            <w:r>
              <w:rPr>
                <w:rFonts w:hint="eastAsia" w:ascii="Times New Roman" w:hAnsi="Times New Roman" w:eastAsia="宋体" w:cs="Times New Roman"/>
                <w:szCs w:val="21"/>
                <w:highlight w:val="none"/>
                <w:lang w:val="en-US" w:eastAsia="zh-CN"/>
              </w:rPr>
              <w:t>1</w:t>
            </w:r>
            <w:r>
              <w:rPr>
                <w:rFonts w:hint="default" w:ascii="Times New Roman" w:hAnsi="Times New Roman" w:eastAsia="宋体" w:cs="Times New Roman"/>
                <w:szCs w:val="21"/>
                <w:highlight w:val="none"/>
                <w:lang w:val="en-US" w:eastAsia="zh-CN"/>
              </w:rPr>
              <w:t>.1　</w:t>
            </w:r>
            <w:r>
              <w:rPr>
                <w:rFonts w:hint="default" w:ascii="Times New Roman" w:hAnsi="Times New Roman" w:eastAsia="宋体" w:cs="Times New Roman"/>
                <w:kern w:val="2"/>
                <w:sz w:val="21"/>
                <w:szCs w:val="21"/>
                <w:highlight w:val="none"/>
                <w:lang w:val="en-US" w:eastAsia="zh-CN" w:bidi="ar-SA"/>
              </w:rPr>
              <w:t>充放气系统由管路、阀门、气压表等组成。</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5.2.1</w:t>
            </w:r>
            <w:r>
              <w:rPr>
                <w:rFonts w:hint="eastAsia" w:ascii="Times New Roman" w:hAnsi="Times New Roman" w:eastAsia="宋体" w:cs="Times New Roman"/>
                <w:szCs w:val="21"/>
                <w:highlight w:val="none"/>
                <w:lang w:val="en-US" w:eastAsia="zh-CN"/>
              </w:rPr>
              <w:t>1</w:t>
            </w:r>
            <w:r>
              <w:rPr>
                <w:rFonts w:hint="default" w:ascii="Times New Roman" w:hAnsi="Times New Roman" w:eastAsia="宋体" w:cs="Times New Roman"/>
                <w:szCs w:val="21"/>
                <w:highlight w:val="none"/>
                <w:lang w:val="en-US" w:eastAsia="zh-CN"/>
              </w:rPr>
              <w:t>.2　</w:t>
            </w:r>
            <w:r>
              <w:rPr>
                <w:rFonts w:hint="default" w:ascii="Times New Roman" w:hAnsi="Times New Roman" w:eastAsia="宋体" w:cs="Times New Roman"/>
                <w:kern w:val="2"/>
                <w:sz w:val="21"/>
                <w:szCs w:val="21"/>
                <w:highlight w:val="none"/>
                <w:lang w:val="en-US" w:eastAsia="zh-CN" w:bidi="ar-SA"/>
              </w:rPr>
              <w:t>系统应有两路，一路为自动，一路为手动。在突然断电时可通过手动向炉内充入保护性气体。</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真空炉的充放气系统由管路、阀门、气压表等组成。</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真空炉的充放气系统应有两路，一路为自动，一路为手动。在突然断电时可通过手动向炉内充人保护性气体。若要求在充放气系统中配备气体流量计，可按9.2提出。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5.3　性能要求</w:t>
            </w:r>
          </w:p>
        </w:tc>
        <w:tc>
          <w:tcPr>
            <w:tcW w:w="2060"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color w:val="auto"/>
                <w:sz w:val="21"/>
                <w:szCs w:val="21"/>
                <w:highlight w:val="none"/>
              </w:rPr>
              <w:t>产品的性能应符合 GB/T 10067.4</w:t>
            </w:r>
            <w:r>
              <w:rPr>
                <w:rFonts w:hint="default" w:ascii="Times New Roman" w:hAnsi="Times New Roman" w:cs="Times New Roman"/>
                <w:color w:val="auto"/>
                <w:sz w:val="21"/>
                <w:szCs w:val="21"/>
                <w:highlight w:val="none"/>
                <w:lang w:val="en-US" w:eastAsia="zh-CN"/>
              </w:rPr>
              <w:t>-2005</w:t>
            </w:r>
            <w:r>
              <w:rPr>
                <w:rFonts w:hint="default" w:ascii="Times New Roman" w:hAnsi="Times New Roman" w:cs="Times New Roman"/>
                <w:color w:val="auto"/>
                <w:sz w:val="21"/>
                <w:szCs w:val="21"/>
                <w:highlight w:val="none"/>
              </w:rPr>
              <w:t xml:space="preserve"> 中</w:t>
            </w:r>
            <w:r>
              <w:rPr>
                <w:rFonts w:hint="default" w:ascii="Times New Roman" w:hAnsi="Times New Roman" w:cs="Times New Roman"/>
                <w:color w:val="auto"/>
                <w:sz w:val="21"/>
                <w:szCs w:val="21"/>
                <w:highlight w:val="none"/>
                <w:lang w:val="en-US" w:eastAsia="zh-CN"/>
              </w:rPr>
              <w:t xml:space="preserve"> </w:t>
            </w:r>
            <w:r>
              <w:rPr>
                <w:rFonts w:hint="default" w:ascii="Times New Roman" w:hAnsi="Times New Roman" w:cs="Times New Roman"/>
                <w:color w:val="auto"/>
                <w:sz w:val="21"/>
                <w:szCs w:val="21"/>
                <w:highlight w:val="none"/>
              </w:rPr>
              <w:t xml:space="preserve">5.3 </w:t>
            </w:r>
            <w:r>
              <w:rPr>
                <w:rFonts w:hint="default" w:ascii="Times New Roman" w:hAnsi="Times New Roman" w:cs="Times New Roman"/>
                <w:color w:val="auto"/>
                <w:sz w:val="21"/>
                <w:szCs w:val="21"/>
                <w:highlight w:val="none"/>
                <w:lang w:eastAsia="zh-CN"/>
              </w:rPr>
              <w:t>的规定</w:t>
            </w:r>
            <w:r>
              <w:rPr>
                <w:rFonts w:hint="default" w:ascii="Times New Roman" w:hAnsi="Times New Roman" w:cs="Times New Roman"/>
                <w:color w:val="auto"/>
                <w:sz w:val="21"/>
                <w:szCs w:val="21"/>
                <w:highlight w:val="none"/>
              </w:rPr>
              <w:t>和以下要求</w:t>
            </w:r>
            <w:r>
              <w:rPr>
                <w:rFonts w:hint="default" w:ascii="Times New Roman" w:hAnsi="Times New Roman" w:cs="Times New Roman"/>
                <w:color w:val="auto"/>
                <w:sz w:val="21"/>
                <w:szCs w:val="21"/>
                <w:highlight w:val="none"/>
                <w:lang w:eastAsia="zh-CN"/>
              </w:rPr>
              <w:t>。</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真空炉的性能应符合 GB/T 10067.4-1998 中5.3 和以下各条要求。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5.3.1　最大装载量</w:t>
            </w:r>
          </w:p>
        </w:tc>
        <w:tc>
          <w:tcPr>
            <w:tcW w:w="2060" w:type="pct"/>
            <w:vAlign w:val="center"/>
          </w:tcPr>
          <w:p>
            <w:pPr>
              <w:pStyle w:val="14"/>
              <w:ind w:left="0" w:leftChars="0" w:firstLine="0" w:firstLine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color w:val="auto"/>
                <w:sz w:val="21"/>
                <w:szCs w:val="21"/>
                <w:highlight w:val="none"/>
              </w:rPr>
              <w:t>应按模具内腔最</w:t>
            </w:r>
            <w:r>
              <w:rPr>
                <w:rFonts w:hint="default" w:ascii="Times New Roman" w:hAnsi="Times New Roman" w:eastAsia="宋体" w:cs="Times New Roman"/>
                <w:color w:val="auto"/>
                <w:sz w:val="21"/>
                <w:szCs w:val="21"/>
                <w:highlight w:val="none"/>
                <w:lang w:val="en-US" w:eastAsia="zh-CN" w:bidi="ar-SA"/>
              </w:rPr>
              <w:t>大容积量的80%取值</w:t>
            </w:r>
            <w:r>
              <w:rPr>
                <w:rFonts w:hint="default" w:ascii="Times New Roman" w:hAnsi="Times New Roman" w:cs="Times New Roman"/>
                <w:color w:val="auto"/>
                <w:sz w:val="21"/>
                <w:szCs w:val="21"/>
                <w:highlight w:val="none"/>
              </w:rPr>
              <w:t>。</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真空炉的最大装载量应按机械设计所规定装载量的 80%取值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5.3.2　空炉加热时间</w:t>
            </w:r>
          </w:p>
        </w:tc>
        <w:tc>
          <w:tcPr>
            <w:tcW w:w="2060" w:type="pct"/>
            <w:vAlign w:val="center"/>
          </w:tcPr>
          <w:p>
            <w:pPr>
              <w:pStyle w:val="14"/>
              <w:ind w:left="0" w:leftChars="0" w:firstLine="0" w:firstLine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color w:val="auto"/>
                <w:sz w:val="21"/>
                <w:szCs w:val="21"/>
                <w:highlight w:val="none"/>
              </w:rPr>
              <w:t>在炉温等于环境温度的条件下，</w:t>
            </w:r>
            <w:r>
              <w:rPr>
                <w:rFonts w:hint="default" w:ascii="Times New Roman" w:hAnsi="Times New Roman" w:cs="Times New Roman"/>
                <w:color w:val="auto"/>
                <w:sz w:val="21"/>
                <w:szCs w:val="21"/>
                <w:highlight w:val="none"/>
                <w:lang w:eastAsia="zh-CN"/>
              </w:rPr>
              <w:t>启动</w:t>
            </w:r>
            <w:r>
              <w:rPr>
                <w:rFonts w:hint="default" w:ascii="Times New Roman" w:hAnsi="Times New Roman" w:cs="Times New Roman"/>
                <w:color w:val="auto"/>
                <w:sz w:val="21"/>
                <w:szCs w:val="21"/>
                <w:highlight w:val="none"/>
              </w:rPr>
              <w:t>真空系统</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当炉内达到预定的真空</w:t>
            </w:r>
            <w:r>
              <w:rPr>
                <w:rFonts w:hint="default" w:ascii="Times New Roman" w:hAnsi="Times New Roman" w:cs="Times New Roman"/>
                <w:color w:val="auto"/>
                <w:sz w:val="21"/>
                <w:szCs w:val="21"/>
                <w:highlight w:val="none"/>
                <w:lang w:eastAsia="zh-CN"/>
              </w:rPr>
              <w:t>度</w:t>
            </w:r>
            <w:r>
              <w:rPr>
                <w:rFonts w:hint="default" w:ascii="Times New Roman" w:hAnsi="Times New Roman" w:cs="Times New Roman"/>
                <w:color w:val="auto"/>
                <w:sz w:val="21"/>
                <w:szCs w:val="21"/>
                <w:highlight w:val="none"/>
              </w:rPr>
              <w:t>时开始加热。</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在炉温等于环境温度的条件下，起动真空系统。当炉内达到预定的压力时开始加热。炉温应能在加热开始后 1h内上升到1100℃。对最高温度为1100℃(含1100℃)以下的真空炉应在1h内达到其最高温度。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5.3.3　表面温升</w:t>
            </w:r>
          </w:p>
        </w:tc>
        <w:tc>
          <w:tcPr>
            <w:tcW w:w="2060" w:type="pct"/>
            <w:vAlign w:val="center"/>
          </w:tcPr>
          <w:p>
            <w:pPr>
              <w:pStyle w:val="14"/>
              <w:ind w:left="0" w:leftChars="0"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color w:val="auto"/>
                <w:sz w:val="21"/>
                <w:szCs w:val="21"/>
                <w:highlight w:val="none"/>
              </w:rPr>
              <w:t xml:space="preserve">炉体各部分的表面温升应不超过 </w:t>
            </w:r>
            <w:r>
              <w:rPr>
                <w:rFonts w:hint="eastAsia" w:ascii="Times New Roman" w:hAnsi="Times New Roman" w:cs="Times New Roman"/>
                <w:color w:val="auto"/>
                <w:sz w:val="21"/>
                <w:szCs w:val="21"/>
                <w:highlight w:val="none"/>
                <w:lang w:val="en-US" w:eastAsia="zh-CN"/>
              </w:rPr>
              <w:t>3</w:t>
            </w:r>
            <w:r>
              <w:rPr>
                <w:rFonts w:hint="default" w:ascii="Times New Roman" w:hAnsi="Times New Roman" w:cs="Times New Roman"/>
                <w:color w:val="auto"/>
                <w:sz w:val="21"/>
                <w:szCs w:val="21"/>
                <w:highlight w:val="none"/>
              </w:rPr>
              <w:t>5</w:t>
            </w:r>
            <w:r>
              <w:rPr>
                <w:rFonts w:hint="default" w:ascii="Times New Roman" w:hAnsi="Times New Roman" w:cs="Times New Roman"/>
                <w:color w:val="auto"/>
                <w:sz w:val="21"/>
                <w:szCs w:val="21"/>
                <w:highlight w:val="none"/>
                <w:lang w:val="en-US" w:eastAsia="zh-CN"/>
              </w:rPr>
              <w:t xml:space="preserve"> </w:t>
            </w:r>
            <w:r>
              <w:rPr>
                <w:rFonts w:hint="default" w:ascii="Times New Roman" w:hAnsi="Times New Roman" w:cs="Times New Roman"/>
                <w:color w:val="auto"/>
                <w:sz w:val="21"/>
                <w:szCs w:val="21"/>
                <w:highlight w:val="none"/>
              </w:rPr>
              <w:t>℃。</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真空炉炉体各部分的表面温升应不超过 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5.4　成套要求</w:t>
            </w:r>
          </w:p>
        </w:tc>
        <w:tc>
          <w:tcPr>
            <w:tcW w:w="2060"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应列出供方规定的产品成套供应范围，一般包括下列各项：</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a)炉体；</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b)加热室；</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c)电气控制装置；</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d)真空仪表，包括真空规管；</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e)加热电源；</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f)真空系统；</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g)水冷系统；</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h)</w:t>
            </w:r>
            <w:r>
              <w:rPr>
                <w:rFonts w:hint="eastAsia" w:ascii="Times New Roman" w:hAnsi="Times New Roman" w:eastAsia="宋体" w:cs="Times New Roman"/>
                <w:kern w:val="2"/>
                <w:sz w:val="21"/>
                <w:szCs w:val="21"/>
                <w:highlight w:val="none"/>
                <w:lang w:val="en-US" w:eastAsia="zh-CN" w:bidi="ar-SA"/>
              </w:rPr>
              <w:t>双向锻造</w:t>
            </w:r>
            <w:r>
              <w:rPr>
                <w:rFonts w:hint="default" w:ascii="Times New Roman" w:hAnsi="Times New Roman" w:eastAsia="宋体" w:cs="Times New Roman"/>
                <w:kern w:val="2"/>
                <w:sz w:val="21"/>
                <w:szCs w:val="21"/>
                <w:highlight w:val="none"/>
                <w:lang w:val="en-US" w:eastAsia="zh-CN" w:bidi="ar-SA"/>
              </w:rPr>
              <w:t>系统；</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i)《产品说明书》，包括必要的图样。</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5.4.1 应列出供方规定的真空炉成套供应范围，一般包括下列各项:</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a)真空炉炉体:</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b)加热室:</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c)电气控制装置:</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d)真空仪表，包括真空规管:</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e)加热电源:</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f)真空系统:</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g)水冷系统:</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h)备件:</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i)《产品说明书》，包括必要的图样。需方如对供方规定供应的项目有不同要求，可按 9.2提出。5.4.2 当需方有要求时，供方应能提供9.2所列项目，并满足相应要求。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5.5　安全</w:t>
            </w:r>
          </w:p>
        </w:tc>
        <w:tc>
          <w:tcPr>
            <w:tcW w:w="2060" w:type="pct"/>
            <w:vAlign w:val="center"/>
          </w:tcPr>
          <w:p>
            <w:pPr>
              <w:pStyle w:val="14"/>
              <w:ind w:left="0" w:leftChars="0"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color w:val="auto"/>
                <w:sz w:val="21"/>
                <w:szCs w:val="21"/>
                <w:highlight w:val="none"/>
              </w:rPr>
              <w:t>产品的设计和制造应符合 GB 5959.1 和 GB 5959.4 的有关规定。</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真空炉的设计和制造应符合 GB5959.1和GB5959.4中的有关规定。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6 试验方法</w:t>
            </w:r>
          </w:p>
        </w:tc>
        <w:tc>
          <w:tcPr>
            <w:tcW w:w="2060"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6.1　最大静态载荷</w:t>
            </w:r>
          </w:p>
        </w:tc>
        <w:tc>
          <w:tcPr>
            <w:tcW w:w="2060" w:type="pct"/>
            <w:vAlign w:val="center"/>
          </w:tcPr>
          <w:p>
            <w:pPr>
              <w:pStyle w:val="17"/>
              <w:numPr>
                <w:ilvl w:val="1"/>
                <w:numId w:val="0"/>
              </w:numP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按JJG 556-2011中7.2.11的规定进行。</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6.2　振荡载荷</w:t>
            </w:r>
          </w:p>
        </w:tc>
        <w:tc>
          <w:tcPr>
            <w:tcW w:w="2060" w:type="pct"/>
            <w:vAlign w:val="center"/>
          </w:tcPr>
          <w:p>
            <w:pPr>
              <w:pStyle w:val="17"/>
              <w:numPr>
                <w:ilvl w:val="1"/>
                <w:numId w:val="0"/>
              </w:numP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按JJG 556-2011中7.2.12的规定进行。</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6.3　振荡频率</w:t>
            </w:r>
          </w:p>
        </w:tc>
        <w:tc>
          <w:tcPr>
            <w:tcW w:w="2060" w:type="pct"/>
            <w:vAlign w:val="center"/>
          </w:tcPr>
          <w:p>
            <w:pPr>
              <w:pStyle w:val="17"/>
              <w:numPr>
                <w:ilvl w:val="1"/>
                <w:numId w:val="0"/>
              </w:numP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在频率范围内设置不同的频率，在不同振荡载荷下采用正弦波施加振荡载荷，设置频率下振荡载荷的峰值与谷值与实际检测值误差应不超过±5% 。</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6.4　最高温度</w:t>
            </w:r>
          </w:p>
        </w:tc>
        <w:tc>
          <w:tcPr>
            <w:tcW w:w="2060"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color w:val="auto"/>
                <w:sz w:val="21"/>
                <w:szCs w:val="21"/>
                <w:highlight w:val="none"/>
              </w:rPr>
              <w:t>在空炉冷态情况下，用本身配套的真空系统对炉子进行抽空，当炉子真空度达到 5</w:t>
            </w:r>
            <w:r>
              <w:rPr>
                <w:rFonts w:hint="default" w:ascii="Times New Roman" w:hAnsi="Times New Roman" w:cs="Times New Roman"/>
                <w:color w:val="auto"/>
                <w:sz w:val="21"/>
                <w:szCs w:val="21"/>
                <w:highlight w:val="none"/>
                <w:lang w:val="en-US" w:eastAsia="zh-CN"/>
              </w:rPr>
              <w:t xml:space="preserve"> </w:t>
            </w:r>
            <w:r>
              <w:rPr>
                <w:rFonts w:hint="default" w:ascii="Times New Roman" w:hAnsi="Times New Roman" w:cs="Times New Roman"/>
                <w:color w:val="auto"/>
                <w:sz w:val="21"/>
                <w:szCs w:val="21"/>
                <w:highlight w:val="none"/>
              </w:rPr>
              <w:t>Pa时开始加热，温度达到设计的最高温度时，保温</w:t>
            </w:r>
            <w:r>
              <w:rPr>
                <w:rFonts w:hint="default" w:ascii="Times New Roman" w:hAnsi="Times New Roman" w:cs="Times New Roman"/>
                <w:color w:val="auto"/>
                <w:sz w:val="21"/>
                <w:szCs w:val="21"/>
                <w:highlight w:val="none"/>
                <w:lang w:val="en-US" w:eastAsia="zh-CN"/>
              </w:rPr>
              <w:t xml:space="preserve"> </w:t>
            </w:r>
            <w:r>
              <w:rPr>
                <w:rFonts w:hint="default" w:ascii="Times New Roman" w:hAnsi="Times New Roman" w:cs="Times New Roman"/>
                <w:color w:val="auto"/>
                <w:sz w:val="21"/>
                <w:szCs w:val="21"/>
                <w:highlight w:val="none"/>
              </w:rPr>
              <w:t>10 min，此温度即为炉子的最高温度</w:t>
            </w:r>
            <w:r>
              <w:rPr>
                <w:rFonts w:hint="default" w:ascii="Times New Roman" w:hAnsi="Times New Roman" w:cs="Times New Roman"/>
                <w:color w:val="auto"/>
                <w:sz w:val="21"/>
                <w:szCs w:val="21"/>
                <w:highlight w:val="none"/>
                <w:lang w:eastAsia="zh-CN"/>
              </w:rPr>
              <w:t>。</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在空炉冷态情况下，用真空炉本身配套的真空系统对炉子进行抽空，当炉子真空度达到 5Pa时开始加热，温度达到设计的最高温度时，保温10min，此温度即为炉子的最高温度。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6.5　工作温度</w:t>
            </w:r>
          </w:p>
        </w:tc>
        <w:tc>
          <w:tcPr>
            <w:tcW w:w="2060"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在空炉冷态情况下，用本身配套的真空系统对炉子进行抽空，当炉子真空度达到 5 Pa时开始加热，温度达到设定的工作温度时，至少保温 2 h，此温度即为炉子的工作温度</w:t>
            </w:r>
            <w:r>
              <w:rPr>
                <w:rFonts w:hint="default" w:ascii="Times New Roman" w:hAnsi="Times New Roman" w:eastAsia="宋体" w:cs="Times New Roman"/>
                <w:color w:val="auto"/>
                <w:sz w:val="21"/>
                <w:szCs w:val="21"/>
                <w:highlight w:val="none"/>
                <w:lang w:eastAsia="zh-CN"/>
              </w:rPr>
              <w:t>。</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在空炉冷态情况下，用真空炉本身配套的真空系统对炉子进行抽空，当炉子真空度达到5Pa时开始加热，温度达到设定的工作温度时，至少保温 2h，此温度即为炉子的工作温度。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6.6　炉温均匀性</w:t>
            </w:r>
          </w:p>
        </w:tc>
        <w:tc>
          <w:tcPr>
            <w:tcW w:w="2060"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按</w:t>
            </w:r>
            <w:r>
              <w:rPr>
                <w:rFonts w:hint="default" w:ascii="Times New Roman" w:hAnsi="Times New Roman" w:cs="Times New Roman"/>
                <w:color w:val="auto"/>
                <w:sz w:val="21"/>
                <w:szCs w:val="21"/>
                <w:highlight w:val="none"/>
                <w:lang w:val="en-US" w:eastAsia="zh-CN"/>
              </w:rPr>
              <w:t xml:space="preserve"> GB/T 9452 的规定设定足够的测温点检测和计算炉温均匀性。</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试验规定如下:将测量炉温均匀性的试验框架(一般为长方体)放进真空炉，取长方体的八个相交点和长方体中心点共九点并与从炉体外引进的九个热电偶相接，然后关上炉门抽空。当炉子真空度达到5Pa时开始加热，炉子温度达到800℃(最高温度为1100℃以下的真空炉，不含1100℃)或1100℃(最高温度为 1100℃~2400℃的真空炉)时，保温2h，然后用同一个电位差计测量每个点的温度，再算出各点的温差即为炉子的炉温均匀性。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6.7　空炉升温速率</w:t>
            </w:r>
          </w:p>
        </w:tc>
        <w:tc>
          <w:tcPr>
            <w:tcW w:w="2060" w:type="pct"/>
            <w:vAlign w:val="center"/>
          </w:tcPr>
          <w:p>
            <w:pPr>
              <w:pStyle w:val="14"/>
              <w:ind w:left="0" w:leftChars="0" w:firstLine="0" w:firstLineChars="0"/>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eastAsia="zh-CN"/>
              </w:rPr>
              <w:t>在常温下，空炉达到极限真空度，以全功率升温至额定炉温，</w:t>
            </w:r>
            <w:r>
              <w:rPr>
                <w:rFonts w:hint="default" w:ascii="Times New Roman" w:hAnsi="Times New Roman" w:cs="Times New Roman"/>
                <w:color w:val="auto"/>
                <w:sz w:val="21"/>
                <w:szCs w:val="21"/>
                <w:highlight w:val="none"/>
                <w:lang w:val="en-US" w:eastAsia="zh-CN"/>
              </w:rPr>
              <w:t>升温速率按公式（1）计算。</w:t>
            </w:r>
          </w:p>
          <w:p>
            <w:pPr>
              <w:pStyle w:val="14"/>
              <w:ind w:left="0" w:leftChars="0" w:firstLine="0" w:firstLineChars="0"/>
              <w:rPr>
                <w:rFonts w:hint="default" w:ascii="Times New Roman" w:hAnsi="Times New Roman" w:cs="Times New Roman"/>
                <w:color w:val="auto"/>
                <w:sz w:val="21"/>
                <w:szCs w:val="21"/>
                <w:highlight w:val="none"/>
                <w:lang w:val="en-US"/>
              </w:rPr>
            </w:pPr>
            <m:oMathPara>
              <m:oMath>
                <m:sSub>
                  <m:sSubPr>
                    <m:ctrlPr>
                      <w:rPr>
                        <w:rFonts w:hint="default" w:ascii="Cambria Math" w:hAnsi="Cambria Math" w:cs="Times New Roman"/>
                        <w:i/>
                        <w:color w:val="auto"/>
                        <w:sz w:val="21"/>
                        <w:szCs w:val="21"/>
                        <w:highlight w:val="none"/>
                        <w:lang w:val="en-US" w:eastAsia="zh-CN" w:bidi="ar-SA"/>
                      </w:rPr>
                    </m:ctrlPr>
                  </m:sSubPr>
                  <m:e>
                    <m:r>
                      <m:rPr/>
                      <w:rPr>
                        <w:rFonts w:hint="default" w:ascii="Cambria Math" w:hAnsi="Cambria Math" w:cs="Times New Roman"/>
                        <w:color w:val="auto"/>
                        <w:sz w:val="21"/>
                        <w:szCs w:val="21"/>
                        <w:highlight w:val="none"/>
                        <w:lang w:val="en-US" w:eastAsia="zh-CN" w:bidi="ar-SA"/>
                      </w:rPr>
                      <m:t>r</m:t>
                    </m:r>
                    <m:ctrlPr>
                      <w:rPr>
                        <w:rFonts w:hint="default" w:ascii="Cambria Math" w:hAnsi="Cambria Math" w:cs="Times New Roman"/>
                        <w:i/>
                        <w:color w:val="auto"/>
                        <w:sz w:val="21"/>
                        <w:szCs w:val="21"/>
                        <w:highlight w:val="none"/>
                        <w:lang w:val="en-US" w:eastAsia="zh-CN" w:bidi="ar-SA"/>
                      </w:rPr>
                    </m:ctrlPr>
                  </m:e>
                  <m:sub>
                    <m:r>
                      <m:rPr/>
                      <w:rPr>
                        <w:rFonts w:hint="default" w:ascii="Cambria Math" w:hAnsi="Cambria Math" w:cs="Times New Roman"/>
                        <w:color w:val="auto"/>
                        <w:sz w:val="21"/>
                        <w:szCs w:val="21"/>
                        <w:highlight w:val="none"/>
                        <w:lang w:val="en-US" w:eastAsia="zh-CN" w:bidi="ar-SA"/>
                      </w:rPr>
                      <m:t>T</m:t>
                    </m:r>
                    <m:ctrlPr>
                      <w:rPr>
                        <w:rFonts w:hint="default" w:ascii="Cambria Math" w:hAnsi="Cambria Math" w:cs="Times New Roman"/>
                        <w:i/>
                        <w:color w:val="auto"/>
                        <w:sz w:val="21"/>
                        <w:szCs w:val="21"/>
                        <w:highlight w:val="none"/>
                        <w:lang w:val="en-US" w:eastAsia="zh-CN" w:bidi="ar-SA"/>
                      </w:rPr>
                    </m:ctrlPr>
                  </m:sub>
                </m:sSub>
                <m:r>
                  <m:rPr>
                    <m:sty m:val="p"/>
                  </m:rPr>
                  <w:rPr>
                    <w:rFonts w:hint="default" w:ascii="Cambria Math" w:hAnsi="Cambria Math" w:cs="Times New Roman"/>
                    <w:color w:val="auto"/>
                    <w:sz w:val="21"/>
                    <w:szCs w:val="21"/>
                    <w:highlight w:val="none"/>
                    <w:lang w:val="en-US" w:eastAsia="zh-CN" w:bidi="ar-SA"/>
                  </w:rPr>
                  <m:t>=</m:t>
                </m:r>
                <m:f>
                  <m:fPr>
                    <m:ctrlPr>
                      <w:rPr>
                        <w:rFonts w:hint="default" w:ascii="Cambria Math" w:hAnsi="Cambria Math" w:cs="Times New Roman"/>
                        <w:color w:val="auto"/>
                        <w:sz w:val="21"/>
                        <w:szCs w:val="21"/>
                        <w:highlight w:val="none"/>
                        <w:lang w:val="en-US" w:eastAsia="zh-CN" w:bidi="ar-SA"/>
                      </w:rPr>
                    </m:ctrlPr>
                  </m:fPr>
                  <m:num>
                    <m:sSub>
                      <m:sSubPr>
                        <m:ctrlPr>
                          <w:rPr>
                            <w:rFonts w:hint="default" w:ascii="Cambria Math" w:hAnsi="Cambria Math" w:cs="Times New Roman"/>
                            <w:i/>
                            <w:iCs/>
                            <w:color w:val="auto"/>
                            <w:sz w:val="21"/>
                            <w:szCs w:val="21"/>
                            <w:highlight w:val="none"/>
                            <w:lang w:val="en-US" w:eastAsia="zh-CN" w:bidi="ar-SA"/>
                          </w:rPr>
                        </m:ctrlPr>
                      </m:sSubPr>
                      <m:e>
                        <m:r>
                          <m:rPr/>
                          <w:rPr>
                            <w:rFonts w:hint="default" w:ascii="Cambria Math" w:hAnsi="Cambria Math" w:cs="Times New Roman"/>
                            <w:color w:val="auto"/>
                            <w:sz w:val="21"/>
                            <w:szCs w:val="21"/>
                            <w:highlight w:val="none"/>
                            <w:lang w:val="en-US" w:eastAsia="zh-CN" w:bidi="ar-SA"/>
                          </w:rPr>
                          <m:t>T</m:t>
                        </m:r>
                        <m:ctrlPr>
                          <w:rPr>
                            <w:rFonts w:hint="default" w:ascii="Cambria Math" w:hAnsi="Cambria Math" w:cs="Times New Roman"/>
                            <w:i/>
                            <w:iCs/>
                            <w:color w:val="auto"/>
                            <w:sz w:val="21"/>
                            <w:szCs w:val="21"/>
                            <w:highlight w:val="none"/>
                            <w:lang w:val="en-US" w:eastAsia="zh-CN" w:bidi="ar-SA"/>
                          </w:rPr>
                        </m:ctrlPr>
                      </m:e>
                      <m:sub>
                        <m:r>
                          <m:rPr>
                            <m:sty m:val="p"/>
                          </m:rPr>
                          <w:rPr>
                            <w:rFonts w:hint="default" w:ascii="Cambria Math" w:hAnsi="Cambria Math" w:cs="Times New Roman"/>
                            <w:color w:val="auto"/>
                            <w:sz w:val="21"/>
                            <w:szCs w:val="21"/>
                            <w:highlight w:val="none"/>
                            <w:lang w:val="en-US" w:eastAsia="zh-CN" w:bidi="ar-SA"/>
                          </w:rPr>
                          <m:t>2</m:t>
                        </m:r>
                        <m:ctrlPr>
                          <w:rPr>
                            <w:rFonts w:hint="default" w:ascii="Cambria Math" w:hAnsi="Cambria Math" w:cs="Times New Roman"/>
                            <w:i/>
                            <w:iCs/>
                            <w:color w:val="auto"/>
                            <w:sz w:val="21"/>
                            <w:szCs w:val="21"/>
                            <w:highlight w:val="none"/>
                            <w:lang w:val="en-US" w:eastAsia="zh-CN" w:bidi="ar-SA"/>
                          </w:rPr>
                        </m:ctrlPr>
                      </m:sub>
                    </m:sSub>
                    <m:r>
                      <m:rPr>
                        <m:sty m:val="p"/>
                      </m:rPr>
                      <w:rPr>
                        <w:rFonts w:hint="default" w:ascii="Cambria Math" w:hAnsi="Cambria Math" w:cs="Times New Roman"/>
                        <w:color w:val="auto"/>
                        <w:sz w:val="21"/>
                        <w:szCs w:val="21"/>
                        <w:highlight w:val="none"/>
                        <w:lang w:val="en-US" w:eastAsia="zh-CN" w:bidi="ar-SA"/>
                      </w:rPr>
                      <m:t>−</m:t>
                    </m:r>
                    <m:sSub>
                      <m:sSubPr>
                        <m:ctrlPr>
                          <w:rPr>
                            <w:rFonts w:hint="default" w:ascii="Cambria Math" w:hAnsi="Cambria Math" w:cs="Times New Roman"/>
                            <w:i/>
                            <w:iCs/>
                            <w:color w:val="auto"/>
                            <w:sz w:val="21"/>
                            <w:szCs w:val="21"/>
                            <w:highlight w:val="none"/>
                            <w:lang w:val="en-US" w:eastAsia="zh-CN" w:bidi="ar-SA"/>
                          </w:rPr>
                        </m:ctrlPr>
                      </m:sSubPr>
                      <m:e>
                        <m:r>
                          <m:rPr/>
                          <w:rPr>
                            <w:rFonts w:hint="default" w:ascii="Cambria Math" w:hAnsi="Cambria Math" w:cs="Times New Roman"/>
                            <w:color w:val="auto"/>
                            <w:sz w:val="21"/>
                            <w:szCs w:val="21"/>
                            <w:highlight w:val="none"/>
                            <w:lang w:val="en-US" w:eastAsia="zh-CN" w:bidi="ar-SA"/>
                          </w:rPr>
                          <m:t>T</m:t>
                        </m:r>
                        <m:ctrlPr>
                          <w:rPr>
                            <w:rFonts w:hint="default" w:ascii="Cambria Math" w:hAnsi="Cambria Math" w:cs="Times New Roman"/>
                            <w:i/>
                            <w:iCs/>
                            <w:color w:val="auto"/>
                            <w:sz w:val="21"/>
                            <w:szCs w:val="21"/>
                            <w:highlight w:val="none"/>
                            <w:lang w:val="en-US" w:eastAsia="zh-CN" w:bidi="ar-SA"/>
                          </w:rPr>
                        </m:ctrlPr>
                      </m:e>
                      <m:sub>
                        <m:r>
                          <m:rPr>
                            <m:sty m:val="p"/>
                          </m:rPr>
                          <w:rPr>
                            <w:rFonts w:hint="default" w:ascii="Cambria Math" w:hAnsi="Cambria Math" w:cs="Times New Roman"/>
                            <w:color w:val="auto"/>
                            <w:sz w:val="21"/>
                            <w:szCs w:val="21"/>
                            <w:highlight w:val="none"/>
                            <w:lang w:val="en-US" w:eastAsia="zh-CN" w:bidi="ar-SA"/>
                          </w:rPr>
                          <m:t>1</m:t>
                        </m:r>
                        <m:ctrlPr>
                          <w:rPr>
                            <w:rFonts w:hint="default" w:ascii="Cambria Math" w:hAnsi="Cambria Math" w:cs="Times New Roman"/>
                            <w:i/>
                            <w:iCs/>
                            <w:color w:val="auto"/>
                            <w:sz w:val="21"/>
                            <w:szCs w:val="21"/>
                            <w:highlight w:val="none"/>
                            <w:lang w:val="en-US" w:eastAsia="zh-CN" w:bidi="ar-SA"/>
                          </w:rPr>
                        </m:ctrlPr>
                      </m:sub>
                    </m:sSub>
                    <m:ctrlPr>
                      <w:rPr>
                        <w:rFonts w:hint="default" w:ascii="Cambria Math" w:hAnsi="Cambria Math" w:cs="Times New Roman"/>
                        <w:color w:val="auto"/>
                        <w:sz w:val="21"/>
                        <w:szCs w:val="21"/>
                        <w:highlight w:val="none"/>
                        <w:lang w:val="en-US" w:eastAsia="zh-CN" w:bidi="ar-SA"/>
                      </w:rPr>
                    </m:ctrlPr>
                  </m:num>
                  <m:den>
                    <m:r>
                      <m:rPr/>
                      <w:rPr>
                        <w:rFonts w:hint="default" w:ascii="Cambria Math" w:hAnsi="Cambria Math" w:cs="Times New Roman"/>
                        <w:color w:val="auto"/>
                        <w:sz w:val="21"/>
                        <w:szCs w:val="21"/>
                        <w:highlight w:val="none"/>
                        <w:lang w:val="en-US" w:eastAsia="zh-CN" w:bidi="ar-SA"/>
                      </w:rPr>
                      <m:t>t</m:t>
                    </m:r>
                    <m:ctrlPr>
                      <w:rPr>
                        <w:rFonts w:hint="default" w:ascii="Cambria Math" w:hAnsi="Cambria Math" w:cs="Times New Roman"/>
                        <w:color w:val="auto"/>
                        <w:sz w:val="21"/>
                        <w:szCs w:val="21"/>
                        <w:highlight w:val="none"/>
                        <w:lang w:val="en-US" w:eastAsia="zh-CN" w:bidi="ar-SA"/>
                      </w:rPr>
                    </m:ctrlPr>
                  </m:den>
                </m:f>
              </m:oMath>
            </m:oMathPara>
          </w:p>
          <w:p>
            <w:pPr>
              <w:pStyle w:val="14"/>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式中：</w:t>
            </w:r>
          </w:p>
          <w:p>
            <w:pPr>
              <w:pStyle w:val="14"/>
              <w:rPr>
                <w:rFonts w:hint="default" w:ascii="Times New Roman" w:hAnsi="Times New Roman" w:cs="Times New Roman"/>
                <w:color w:val="auto"/>
                <w:sz w:val="21"/>
                <w:szCs w:val="21"/>
                <w:highlight w:val="none"/>
                <w:lang w:eastAsia="zh-CN"/>
              </w:rPr>
            </w:pPr>
            <m:oMath>
              <m:sSub>
                <m:sSubPr>
                  <m:ctrlPr>
                    <w:rPr>
                      <w:rFonts w:hint="default" w:ascii="Cambria Math" w:hAnsi="Cambria Math" w:cs="Times New Roman"/>
                      <w:i/>
                      <w:color w:val="auto"/>
                      <w:sz w:val="21"/>
                      <w:szCs w:val="21"/>
                      <w:highlight w:val="none"/>
                      <w:lang w:val="en-US" w:eastAsia="zh-CN" w:bidi="ar-SA"/>
                    </w:rPr>
                  </m:ctrlPr>
                </m:sSubPr>
                <m:e>
                  <m:r>
                    <m:rPr/>
                    <w:rPr>
                      <w:rFonts w:hint="default" w:ascii="Cambria Math" w:hAnsi="Cambria Math" w:cs="Times New Roman"/>
                      <w:color w:val="auto"/>
                      <w:sz w:val="21"/>
                      <w:szCs w:val="21"/>
                      <w:highlight w:val="none"/>
                      <w:lang w:val="en-US" w:eastAsia="zh-CN" w:bidi="ar-SA"/>
                    </w:rPr>
                    <m:t>r</m:t>
                  </m:r>
                  <m:ctrlPr>
                    <w:rPr>
                      <w:rFonts w:hint="default" w:ascii="Cambria Math" w:hAnsi="Cambria Math" w:cs="Times New Roman"/>
                      <w:i/>
                      <w:color w:val="auto"/>
                      <w:sz w:val="21"/>
                      <w:szCs w:val="21"/>
                      <w:highlight w:val="none"/>
                      <w:lang w:val="en-US" w:eastAsia="zh-CN" w:bidi="ar-SA"/>
                    </w:rPr>
                  </m:ctrlPr>
                </m:e>
                <m:sub>
                  <m:r>
                    <m:rPr/>
                    <w:rPr>
                      <w:rFonts w:hint="default" w:ascii="Cambria Math" w:hAnsi="Cambria Math" w:cs="Times New Roman"/>
                      <w:color w:val="auto"/>
                      <w:sz w:val="21"/>
                      <w:szCs w:val="21"/>
                      <w:highlight w:val="none"/>
                      <w:lang w:val="en-US" w:eastAsia="zh-CN" w:bidi="ar-SA"/>
                    </w:rPr>
                    <m:t>T</m:t>
                  </m:r>
                  <m:ctrlPr>
                    <w:rPr>
                      <w:rFonts w:hint="default" w:ascii="Cambria Math" w:hAnsi="Cambria Math" w:cs="Times New Roman"/>
                      <w:i/>
                      <w:color w:val="auto"/>
                      <w:sz w:val="21"/>
                      <w:szCs w:val="21"/>
                      <w:highlight w:val="none"/>
                      <w:lang w:val="en-US" w:eastAsia="zh-CN" w:bidi="ar-SA"/>
                    </w:rPr>
                  </m:ctrlPr>
                </m:sub>
              </m:sSub>
            </m:oMath>
            <w:r>
              <w:rPr>
                <w:rFonts w:hint="default" w:ascii="Times New Roman" w:hAnsi="Times New Roman" w:cs="Times New Roman"/>
                <w:i w:val="0"/>
                <w:color w:val="auto"/>
                <w:sz w:val="21"/>
                <w:szCs w:val="21"/>
                <w:highlight w:val="none"/>
                <w:lang w:val="en-US" w:eastAsia="zh-CN" w:bidi="ar-SA"/>
              </w:rPr>
              <w:t xml:space="preserve"> </w:t>
            </w: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val="en-US" w:eastAsia="zh-CN"/>
              </w:rPr>
              <w:t xml:space="preserve"> </w:t>
            </w:r>
            <w:r>
              <w:rPr>
                <w:rFonts w:hint="default" w:ascii="Times New Roman" w:hAnsi="Times New Roman" w:cs="Times New Roman"/>
                <w:color w:val="auto"/>
                <w:sz w:val="21"/>
                <w:szCs w:val="21"/>
                <w:highlight w:val="none"/>
                <w:lang w:eastAsia="zh-CN"/>
              </w:rPr>
              <w:t>空炉升温速率，单位为摄氏度每分（℃</w:t>
            </w:r>
            <w:r>
              <w:rPr>
                <w:rFonts w:hint="default" w:ascii="Times New Roman" w:hAnsi="Times New Roman" w:cs="Times New Roman"/>
                <w:color w:val="auto"/>
                <w:sz w:val="21"/>
                <w:szCs w:val="21"/>
                <w:highlight w:val="none"/>
                <w:lang w:val="en-US" w:eastAsia="zh-CN"/>
              </w:rPr>
              <w:t>/min</w:t>
            </w:r>
            <w:r>
              <w:rPr>
                <w:rFonts w:hint="default" w:ascii="Times New Roman" w:hAnsi="Times New Roman" w:cs="Times New Roman"/>
                <w:color w:val="auto"/>
                <w:sz w:val="21"/>
                <w:szCs w:val="21"/>
                <w:highlight w:val="none"/>
                <w:lang w:eastAsia="zh-CN"/>
              </w:rPr>
              <w:t>）；</w:t>
            </w:r>
          </w:p>
          <w:p>
            <w:pPr>
              <w:pStyle w:val="14"/>
              <w:rPr>
                <w:rFonts w:hint="default" w:ascii="Times New Roman" w:hAnsi="Times New Roman" w:cs="Times New Roman"/>
                <w:color w:val="auto"/>
                <w:sz w:val="21"/>
                <w:szCs w:val="21"/>
                <w:highlight w:val="none"/>
                <w:lang w:val="en-US" w:eastAsia="zh-CN"/>
              </w:rPr>
            </w:pPr>
            <m:oMath>
              <m:sSub>
                <m:sSubPr>
                  <m:ctrlPr>
                    <w:rPr>
                      <w:rFonts w:hint="default" w:ascii="Cambria Math" w:hAnsi="Cambria Math" w:cs="Times New Roman"/>
                      <w:i/>
                      <w:iCs/>
                      <w:color w:val="auto"/>
                      <w:sz w:val="21"/>
                      <w:szCs w:val="21"/>
                      <w:highlight w:val="none"/>
                      <w:lang w:val="en-US" w:eastAsia="zh-CN" w:bidi="ar-SA"/>
                    </w:rPr>
                  </m:ctrlPr>
                </m:sSubPr>
                <m:e>
                  <m:r>
                    <m:rPr/>
                    <w:rPr>
                      <w:rFonts w:hint="default" w:ascii="Cambria Math" w:hAnsi="Cambria Math" w:cs="Times New Roman"/>
                      <w:color w:val="auto"/>
                      <w:sz w:val="21"/>
                      <w:szCs w:val="21"/>
                      <w:highlight w:val="none"/>
                      <w:lang w:val="en-US" w:eastAsia="zh-CN" w:bidi="ar-SA"/>
                    </w:rPr>
                    <m:t>T</m:t>
                  </m:r>
                  <m:ctrlPr>
                    <w:rPr>
                      <w:rFonts w:hint="default" w:ascii="Cambria Math" w:hAnsi="Cambria Math" w:cs="Times New Roman"/>
                      <w:i/>
                      <w:iCs/>
                      <w:color w:val="auto"/>
                      <w:sz w:val="21"/>
                      <w:szCs w:val="21"/>
                      <w:highlight w:val="none"/>
                      <w:lang w:val="en-US" w:eastAsia="zh-CN" w:bidi="ar-SA"/>
                    </w:rPr>
                  </m:ctrlPr>
                </m:e>
                <m:sub>
                  <m:r>
                    <m:rPr>
                      <m:sty m:val="p"/>
                    </m:rPr>
                    <w:rPr>
                      <w:rFonts w:hint="default" w:ascii="Cambria Math" w:hAnsi="Cambria Math" w:cs="Times New Roman"/>
                      <w:color w:val="auto"/>
                      <w:sz w:val="21"/>
                      <w:szCs w:val="21"/>
                      <w:highlight w:val="none"/>
                      <w:lang w:val="en-US" w:eastAsia="zh-CN" w:bidi="ar-SA"/>
                    </w:rPr>
                    <m:t>1</m:t>
                  </m:r>
                  <m:ctrlPr>
                    <w:rPr>
                      <w:rFonts w:hint="default" w:ascii="Cambria Math" w:hAnsi="Cambria Math" w:cs="Times New Roman"/>
                      <w:i/>
                      <w:iCs/>
                      <w:color w:val="auto"/>
                      <w:sz w:val="21"/>
                      <w:szCs w:val="21"/>
                      <w:highlight w:val="none"/>
                      <w:lang w:val="en-US" w:eastAsia="zh-CN" w:bidi="ar-SA"/>
                    </w:rPr>
                  </m:ctrlPr>
                </m:sub>
              </m:sSub>
            </m:oMath>
            <w:r>
              <w:rPr>
                <w:rFonts w:hint="default" w:ascii="Times New Roman" w:hAnsi="Times New Roman" w:cs="Times New Roman"/>
                <w:i w:val="0"/>
                <w:iCs/>
                <w:color w:val="auto"/>
                <w:sz w:val="21"/>
                <w:szCs w:val="21"/>
                <w:highlight w:val="none"/>
                <w:lang w:val="en-US" w:eastAsia="zh-CN" w:bidi="ar-SA"/>
              </w:rPr>
              <w:t xml:space="preserve"> </w:t>
            </w: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val="en-US" w:eastAsia="zh-CN"/>
              </w:rPr>
              <w:t xml:space="preserve"> </w:t>
            </w:r>
            <w:r>
              <w:rPr>
                <w:rFonts w:hint="default" w:ascii="Times New Roman" w:hAnsi="Times New Roman" w:cs="Times New Roman"/>
                <w:color w:val="auto"/>
                <w:sz w:val="21"/>
                <w:szCs w:val="21"/>
                <w:highlight w:val="none"/>
                <w:lang w:eastAsia="zh-CN"/>
              </w:rPr>
              <w:t>初始温度，一般为常温，单位为摄氏度（℃）；</w:t>
            </w:r>
          </w:p>
          <w:p>
            <w:pPr>
              <w:pStyle w:val="14"/>
              <w:rPr>
                <w:rFonts w:hint="default" w:ascii="Times New Roman" w:hAnsi="Times New Roman" w:cs="Times New Roman"/>
                <w:color w:val="auto"/>
                <w:sz w:val="21"/>
                <w:szCs w:val="21"/>
                <w:highlight w:val="none"/>
                <w:lang w:val="en-US" w:eastAsia="zh-CN"/>
              </w:rPr>
            </w:pPr>
            <m:oMath>
              <m:sSub>
                <m:sSubPr>
                  <m:ctrlPr>
                    <w:rPr>
                      <w:rFonts w:hint="default" w:ascii="Cambria Math" w:hAnsi="Cambria Math" w:cs="Times New Roman"/>
                      <w:i/>
                      <w:iCs/>
                      <w:color w:val="auto"/>
                      <w:sz w:val="21"/>
                      <w:szCs w:val="21"/>
                      <w:highlight w:val="none"/>
                      <w:lang w:val="en-US" w:eastAsia="zh-CN" w:bidi="ar-SA"/>
                    </w:rPr>
                  </m:ctrlPr>
                </m:sSubPr>
                <m:e>
                  <m:r>
                    <m:rPr/>
                    <w:rPr>
                      <w:rFonts w:hint="default" w:ascii="Cambria Math" w:hAnsi="Cambria Math" w:cs="Times New Roman"/>
                      <w:color w:val="auto"/>
                      <w:sz w:val="21"/>
                      <w:szCs w:val="21"/>
                      <w:highlight w:val="none"/>
                      <w:lang w:val="en-US" w:eastAsia="zh-CN" w:bidi="ar-SA"/>
                    </w:rPr>
                    <m:t>T</m:t>
                  </m:r>
                  <m:ctrlPr>
                    <w:rPr>
                      <w:rFonts w:hint="default" w:ascii="Cambria Math" w:hAnsi="Cambria Math" w:cs="Times New Roman"/>
                      <w:i/>
                      <w:iCs/>
                      <w:color w:val="auto"/>
                      <w:sz w:val="21"/>
                      <w:szCs w:val="21"/>
                      <w:highlight w:val="none"/>
                      <w:lang w:val="en-US" w:eastAsia="zh-CN" w:bidi="ar-SA"/>
                    </w:rPr>
                  </m:ctrlPr>
                </m:e>
                <m:sub>
                  <m:r>
                    <m:rPr>
                      <m:sty m:val="p"/>
                    </m:rPr>
                    <w:rPr>
                      <w:rFonts w:hint="default" w:ascii="Cambria Math" w:hAnsi="Cambria Math" w:cs="Times New Roman"/>
                      <w:color w:val="auto"/>
                      <w:sz w:val="21"/>
                      <w:szCs w:val="21"/>
                      <w:highlight w:val="none"/>
                      <w:lang w:val="en-US" w:eastAsia="zh-CN" w:bidi="ar-SA"/>
                    </w:rPr>
                    <m:t>2</m:t>
                  </m:r>
                  <m:ctrlPr>
                    <w:rPr>
                      <w:rFonts w:hint="default" w:ascii="Cambria Math" w:hAnsi="Cambria Math" w:cs="Times New Roman"/>
                      <w:i/>
                      <w:iCs/>
                      <w:color w:val="auto"/>
                      <w:sz w:val="21"/>
                      <w:szCs w:val="21"/>
                      <w:highlight w:val="none"/>
                      <w:lang w:val="en-US" w:eastAsia="zh-CN" w:bidi="ar-SA"/>
                    </w:rPr>
                  </m:ctrlPr>
                </m:sub>
              </m:sSub>
            </m:oMath>
            <w:r>
              <w:rPr>
                <w:rFonts w:hint="default" w:ascii="Times New Roman" w:hAnsi="Times New Roman" w:cs="Times New Roman"/>
                <w:i w:val="0"/>
                <w:iCs/>
                <w:color w:val="auto"/>
                <w:sz w:val="21"/>
                <w:szCs w:val="21"/>
                <w:highlight w:val="none"/>
                <w:lang w:val="en-US" w:eastAsia="zh-CN" w:bidi="ar-SA"/>
              </w:rPr>
              <w:t xml:space="preserve"> </w:t>
            </w: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val="en-US" w:eastAsia="zh-CN"/>
              </w:rPr>
              <w:t xml:space="preserve"> </w:t>
            </w:r>
            <w:r>
              <w:rPr>
                <w:rFonts w:hint="default" w:ascii="Times New Roman" w:hAnsi="Times New Roman" w:cs="Times New Roman"/>
                <w:color w:val="auto"/>
                <w:sz w:val="21"/>
                <w:szCs w:val="21"/>
                <w:highlight w:val="none"/>
                <w:lang w:eastAsia="zh-CN"/>
              </w:rPr>
              <w:t>额定炉温，单位为摄氏度（℃）；</w:t>
            </w:r>
          </w:p>
          <w:p>
            <w:pPr>
              <w:keepNext w:val="0"/>
              <w:keepLines w:val="0"/>
              <w:suppressLineNumbers w:val="0"/>
              <w:spacing w:before="0" w:beforeAutospacing="0" w:after="0" w:afterAutospacing="0"/>
              <w:ind w:left="0" w:leftChars="0" w:right="0" w:rightChars="0" w:firstLine="420" w:firstLineChars="200"/>
              <w:jc w:val="left"/>
              <w:rPr>
                <w:rFonts w:hint="default" w:ascii="Times New Roman" w:hAnsi="Times New Roman" w:eastAsia="宋体" w:cs="Times New Roman"/>
                <w:kern w:val="2"/>
                <w:sz w:val="21"/>
                <w:szCs w:val="21"/>
                <w:highlight w:val="none"/>
                <w:lang w:val="en-US" w:eastAsia="zh-CN" w:bidi="ar-SA"/>
              </w:rPr>
            </w:pPr>
            <m:oMath>
              <m:r>
                <m:rPr/>
                <w:rPr>
                  <w:rFonts w:hint="default" w:ascii="Cambria Math" w:hAnsi="Cambria Math" w:cs="Times New Roman"/>
                  <w:color w:val="auto"/>
                  <w:sz w:val="21"/>
                  <w:szCs w:val="21"/>
                  <w:highlight w:val="none"/>
                  <w:lang w:val="en-US" w:eastAsia="zh-CN" w:bidi="ar-SA"/>
                </w:rPr>
                <m:t>t</m:t>
              </m:r>
            </m:oMath>
            <w:r>
              <w:rPr>
                <w:rFonts w:hint="default" w:ascii="Times New Roman" w:hAnsi="Times New Roman" w:cs="Times New Roman"/>
                <w:i w:val="0"/>
                <w:color w:val="auto"/>
                <w:sz w:val="21"/>
                <w:szCs w:val="21"/>
                <w:highlight w:val="none"/>
                <w:lang w:val="en-US" w:eastAsia="zh-CN" w:bidi="ar-SA"/>
              </w:rPr>
              <w:t xml:space="preserve"> </w:t>
            </w: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val="en-US" w:eastAsia="zh-CN"/>
              </w:rPr>
              <w:t xml:space="preserve"> 升温时间（不包括保温时间）</w:t>
            </w:r>
            <w:r>
              <w:rPr>
                <w:rFonts w:hint="default" w:ascii="Times New Roman" w:hAnsi="Times New Roman" w:cs="Times New Roman"/>
                <w:color w:val="auto"/>
                <w:sz w:val="21"/>
                <w:szCs w:val="21"/>
                <w:highlight w:val="none"/>
                <w:lang w:eastAsia="zh-CN"/>
              </w:rPr>
              <w:t>，单位为分（</w:t>
            </w:r>
            <w:r>
              <w:rPr>
                <w:rFonts w:hint="default" w:ascii="Times New Roman" w:hAnsi="Times New Roman" w:cs="Times New Roman"/>
                <w:color w:val="auto"/>
                <w:sz w:val="21"/>
                <w:szCs w:val="21"/>
                <w:highlight w:val="none"/>
                <w:lang w:val="en-US" w:eastAsia="zh-CN"/>
              </w:rPr>
              <w:t>min</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lang w:val="en-US" w:eastAsia="zh-CN"/>
              </w:rPr>
              <w:t>。</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6.8　控温精度</w:t>
            </w:r>
          </w:p>
        </w:tc>
        <w:tc>
          <w:tcPr>
            <w:tcW w:w="2060"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color w:val="auto"/>
                <w:sz w:val="21"/>
                <w:szCs w:val="21"/>
                <w:highlight w:val="none"/>
              </w:rPr>
              <w:t>在空炉冷态情况下，用真空炉本身配套的真空系统对炉子进行抽空，当炉子达到一定真空度时开始加热，温度达到设定的温度时，保温 30 min</w:t>
            </w:r>
            <w:r>
              <w:rPr>
                <w:rFonts w:hint="default" w:ascii="Times New Roman" w:hAnsi="Times New Roman" w:cs="Times New Roman"/>
                <w:color w:val="auto"/>
                <w:sz w:val="21"/>
                <w:szCs w:val="21"/>
                <w:highlight w:val="none"/>
                <w:lang w:val="en-US" w:eastAsia="zh-CN"/>
              </w:rPr>
              <w:t xml:space="preserve"> 以上 </w:t>
            </w:r>
            <w:r>
              <w:rPr>
                <w:rFonts w:hint="default" w:ascii="Times New Roman" w:hAnsi="Times New Roman" w:cs="Times New Roman"/>
                <w:color w:val="auto"/>
                <w:sz w:val="21"/>
                <w:szCs w:val="21"/>
                <w:highlight w:val="none"/>
              </w:rPr>
              <w:t>，此时经过校验的主控和辅控温度表之间的差值即为控温精度</w:t>
            </w:r>
            <w:r>
              <w:rPr>
                <w:rFonts w:hint="default" w:ascii="Times New Roman" w:hAnsi="Times New Roman" w:cs="Times New Roman"/>
                <w:color w:val="auto"/>
                <w:sz w:val="21"/>
                <w:szCs w:val="21"/>
                <w:highlight w:val="none"/>
                <w:lang w:eastAsia="zh-CN"/>
              </w:rPr>
              <w:t>。</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在空炉冷态情况下，用真空炉本身配套的真空系统对炉子进行抽空，当炉子真空度达到SPa时开始加热，温度达到设定的温度时，保温 30min，此时经过校验的主控和辅控温度表之间的差值即为真空炉的控温精度。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6.9　</w:t>
            </w:r>
            <w:r>
              <w:rPr>
                <w:rFonts w:hint="eastAsia" w:ascii="Times New Roman" w:hAnsi="Times New Roman" w:eastAsia="宋体" w:cs="Times New Roman"/>
                <w:szCs w:val="21"/>
                <w:highlight w:val="none"/>
                <w:lang w:val="en-US" w:eastAsia="zh-CN"/>
              </w:rPr>
              <w:t>动态</w:t>
            </w:r>
            <w:r>
              <w:rPr>
                <w:rFonts w:hint="default" w:ascii="Times New Roman" w:hAnsi="Times New Roman" w:eastAsia="宋体" w:cs="Times New Roman"/>
                <w:szCs w:val="21"/>
                <w:highlight w:val="none"/>
                <w:lang w:val="en-US" w:eastAsia="zh-CN"/>
              </w:rPr>
              <w:t>极限真空度</w:t>
            </w:r>
          </w:p>
        </w:tc>
        <w:tc>
          <w:tcPr>
            <w:tcW w:w="2060"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color w:val="auto"/>
                <w:sz w:val="21"/>
                <w:szCs w:val="21"/>
                <w:highlight w:val="none"/>
              </w:rPr>
              <w:t>在空炉</w:t>
            </w:r>
            <w:r>
              <w:rPr>
                <w:rFonts w:hint="eastAsia" w:ascii="Times New Roman" w:cs="Times New Roman"/>
                <w:color w:val="auto"/>
                <w:sz w:val="21"/>
                <w:szCs w:val="21"/>
                <w:highlight w:val="none"/>
                <w:lang w:eastAsia="zh-CN"/>
              </w:rPr>
              <w:t>冷态</w:t>
            </w:r>
            <w:r>
              <w:rPr>
                <w:rFonts w:hint="default" w:ascii="Times New Roman" w:hAnsi="Times New Roman" w:cs="Times New Roman"/>
                <w:color w:val="auto"/>
                <w:sz w:val="21"/>
                <w:szCs w:val="21"/>
                <w:highlight w:val="none"/>
              </w:rPr>
              <w:t>情况下，用</w:t>
            </w:r>
            <w:r>
              <w:rPr>
                <w:rFonts w:hint="eastAsia" w:ascii="Times New Roman" w:cs="Times New Roman"/>
                <w:color w:val="auto"/>
                <w:sz w:val="21"/>
                <w:szCs w:val="21"/>
                <w:highlight w:val="none"/>
                <w:lang w:eastAsia="zh-CN"/>
              </w:rPr>
              <w:t>真空炉</w:t>
            </w:r>
            <w:r>
              <w:rPr>
                <w:rFonts w:hint="default" w:ascii="Times New Roman" w:hAnsi="Times New Roman" w:cs="Times New Roman"/>
                <w:color w:val="auto"/>
                <w:sz w:val="21"/>
                <w:szCs w:val="21"/>
                <w:highlight w:val="none"/>
              </w:rPr>
              <w:t>本身配套的真空系统进行</w:t>
            </w:r>
            <w:r>
              <w:rPr>
                <w:rFonts w:hint="eastAsia" w:ascii="Times New Roman" w:cs="Times New Roman"/>
                <w:color w:val="auto"/>
                <w:sz w:val="21"/>
                <w:szCs w:val="21"/>
                <w:highlight w:val="none"/>
                <w:lang w:eastAsia="zh-CN"/>
              </w:rPr>
              <w:t>试验。按正常工作条件启动真空泵</w:t>
            </w:r>
            <w:r>
              <w:rPr>
                <w:rFonts w:hint="default" w:ascii="Times New Roman" w:hAnsi="Times New Roman" w:cs="Times New Roman"/>
                <w:color w:val="auto"/>
                <w:sz w:val="21"/>
                <w:szCs w:val="21"/>
                <w:highlight w:val="none"/>
              </w:rPr>
              <w:t>，</w:t>
            </w:r>
            <w:r>
              <w:rPr>
                <w:rFonts w:hint="eastAsia" w:ascii="Times New Roman" w:cs="Times New Roman"/>
                <w:color w:val="auto"/>
                <w:sz w:val="21"/>
                <w:szCs w:val="21"/>
                <w:highlight w:val="none"/>
                <w:lang w:eastAsia="zh-CN"/>
              </w:rPr>
              <w:t>直到炉子内压力达到最低值，</w:t>
            </w:r>
            <w:r>
              <w:rPr>
                <w:rFonts w:hint="eastAsia" w:ascii="Times New Roman" w:cs="Times New Roman"/>
                <w:color w:val="auto"/>
                <w:sz w:val="21"/>
                <w:szCs w:val="21"/>
                <w:highlight w:val="none"/>
                <w:lang w:val="en-US" w:eastAsia="zh-CN"/>
              </w:rPr>
              <w:t>启动双向锻造系统，在动态情况下</w:t>
            </w:r>
            <w:r>
              <w:rPr>
                <w:rFonts w:hint="eastAsia" w:ascii="Times New Roman" w:cs="Times New Roman"/>
                <w:color w:val="auto"/>
                <w:sz w:val="21"/>
                <w:szCs w:val="21"/>
                <w:highlight w:val="none"/>
                <w:lang w:eastAsia="zh-CN"/>
              </w:rPr>
              <w:t>真空炉应能达到本文件中所规定的的极限真空度值，</w:t>
            </w:r>
            <w:r>
              <w:rPr>
                <w:rFonts w:hint="eastAsia" w:ascii="Times New Roman" w:cs="Times New Roman"/>
                <w:color w:val="auto"/>
                <w:sz w:val="21"/>
                <w:szCs w:val="21"/>
                <w:highlight w:val="none"/>
                <w:lang w:val="en-US" w:eastAsia="zh-CN"/>
              </w:rPr>
              <w:t>用</w:t>
            </w:r>
            <w:r>
              <w:rPr>
                <w:rFonts w:hint="eastAsia" w:ascii="Times New Roman" w:cs="Times New Roman"/>
                <w:color w:val="auto"/>
                <w:sz w:val="21"/>
                <w:szCs w:val="21"/>
                <w:highlight w:val="none"/>
                <w:lang w:eastAsia="zh-CN"/>
              </w:rPr>
              <w:t>复合</w:t>
            </w:r>
            <w:r>
              <w:rPr>
                <w:rFonts w:hint="default" w:ascii="Times New Roman" w:hAnsi="Times New Roman" w:cs="Times New Roman"/>
                <w:color w:val="auto"/>
                <w:sz w:val="21"/>
                <w:szCs w:val="21"/>
                <w:highlight w:val="none"/>
              </w:rPr>
              <w:t>真空仪表</w:t>
            </w:r>
            <w:r>
              <w:rPr>
                <w:rFonts w:hint="eastAsia" w:ascii="Times New Roman" w:cs="Times New Roman"/>
                <w:color w:val="auto"/>
                <w:sz w:val="21"/>
                <w:szCs w:val="21"/>
                <w:highlight w:val="none"/>
                <w:lang w:eastAsia="zh-CN"/>
              </w:rPr>
              <w:t>（电阻式</w:t>
            </w:r>
            <w:r>
              <w:rPr>
                <w:rFonts w:hint="eastAsia" w:ascii="Times New Roman" w:cs="Times New Roman"/>
                <w:color w:val="auto"/>
                <w:sz w:val="21"/>
                <w:szCs w:val="21"/>
                <w:highlight w:val="none"/>
                <w:lang w:val="en-US" w:eastAsia="zh-CN"/>
              </w:rPr>
              <w:t>+电离式</w:t>
            </w:r>
            <w:r>
              <w:rPr>
                <w:rFonts w:hint="eastAsia" w:ascii="Times New Roman" w:cs="Times New Roman"/>
                <w:color w:val="auto"/>
                <w:sz w:val="21"/>
                <w:szCs w:val="21"/>
                <w:highlight w:val="none"/>
                <w:lang w:eastAsia="zh-CN"/>
              </w:rPr>
              <w:t>）</w:t>
            </w:r>
            <w:r>
              <w:rPr>
                <w:rFonts w:hint="eastAsia" w:ascii="Times New Roman" w:cs="Times New Roman"/>
                <w:color w:val="auto"/>
                <w:sz w:val="21"/>
                <w:szCs w:val="21"/>
                <w:highlight w:val="none"/>
                <w:lang w:val="en-US" w:eastAsia="zh-CN"/>
              </w:rPr>
              <w:t>测量真空度</w:t>
            </w:r>
            <w:r>
              <w:rPr>
                <w:rFonts w:hint="default" w:ascii="Times New Roman" w:hAnsi="Times New Roman" w:cs="Times New Roman"/>
                <w:color w:val="auto"/>
                <w:sz w:val="21"/>
                <w:szCs w:val="21"/>
                <w:highlight w:val="none"/>
                <w:lang w:val="en-US" w:eastAsia="zh-CN"/>
              </w:rPr>
              <w:t>。</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de-DE" w:eastAsia="zh-CN" w:bidi="ar-SA"/>
              </w:rPr>
            </w:pPr>
            <w:r>
              <w:rPr>
                <w:rFonts w:hint="default" w:ascii="Times New Roman" w:hAnsi="Times New Roman" w:eastAsia="宋体" w:cs="Times New Roman"/>
                <w:kern w:val="2"/>
                <w:sz w:val="21"/>
                <w:szCs w:val="21"/>
                <w:highlight w:val="none"/>
                <w:lang w:val="de-DE" w:eastAsia="zh-CN" w:bidi="ar-SA"/>
              </w:rPr>
              <w:t>在空炉冷态情况下，用真空炉本身配套的真空系统进行试验。按正常工作条件启动真空泵，直到炉内压力达到的最低值即为炉子的极限压力。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6.10　空炉抽气时间</w:t>
            </w:r>
          </w:p>
        </w:tc>
        <w:tc>
          <w:tcPr>
            <w:tcW w:w="2060" w:type="pct"/>
            <w:vAlign w:val="center"/>
          </w:tcPr>
          <w:p>
            <w:pPr>
              <w:pStyle w:val="14"/>
              <w:ind w:left="0" w:leftChars="0"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color w:val="auto"/>
                <w:sz w:val="21"/>
                <w:szCs w:val="21"/>
                <w:highlight w:val="none"/>
              </w:rPr>
              <w:t>在空炉</w:t>
            </w:r>
            <w:r>
              <w:rPr>
                <w:rFonts w:hint="default" w:ascii="Times New Roman" w:hAnsi="Times New Roman" w:cs="Times New Roman"/>
                <w:color w:val="auto"/>
                <w:sz w:val="21"/>
                <w:szCs w:val="21"/>
                <w:highlight w:val="none"/>
                <w:lang w:eastAsia="zh-CN"/>
              </w:rPr>
              <w:t>冷态</w:t>
            </w:r>
            <w:r>
              <w:rPr>
                <w:rFonts w:hint="default" w:ascii="Times New Roman" w:hAnsi="Times New Roman" w:cs="Times New Roman"/>
                <w:color w:val="auto"/>
                <w:sz w:val="21"/>
                <w:szCs w:val="21"/>
                <w:highlight w:val="none"/>
              </w:rPr>
              <w:t>情况下，用</w:t>
            </w:r>
            <w:r>
              <w:rPr>
                <w:rFonts w:hint="default" w:ascii="Times New Roman" w:hAnsi="Times New Roman" w:cs="Times New Roman"/>
                <w:color w:val="auto"/>
                <w:sz w:val="21"/>
                <w:szCs w:val="21"/>
                <w:highlight w:val="none"/>
                <w:lang w:eastAsia="zh-CN"/>
              </w:rPr>
              <w:t>真空炉</w:t>
            </w:r>
            <w:r>
              <w:rPr>
                <w:rFonts w:hint="default" w:ascii="Times New Roman" w:hAnsi="Times New Roman" w:cs="Times New Roman"/>
                <w:color w:val="auto"/>
                <w:sz w:val="21"/>
                <w:szCs w:val="21"/>
                <w:highlight w:val="none"/>
              </w:rPr>
              <w:t>本身配套的真空系统进行</w:t>
            </w:r>
            <w:r>
              <w:rPr>
                <w:rFonts w:hint="default" w:ascii="Times New Roman" w:hAnsi="Times New Roman" w:cs="Times New Roman"/>
                <w:color w:val="auto"/>
                <w:sz w:val="21"/>
                <w:szCs w:val="21"/>
                <w:highlight w:val="none"/>
                <w:lang w:eastAsia="zh-CN"/>
              </w:rPr>
              <w:t>试验。按正常工作条件启动真空泵</w:t>
            </w: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eastAsia="zh-CN"/>
              </w:rPr>
              <w:t>从</w:t>
            </w:r>
            <w:r>
              <w:rPr>
                <w:rFonts w:hint="default" w:ascii="Times New Roman" w:hAnsi="Times New Roman" w:cs="Times New Roman"/>
                <w:color w:val="auto"/>
                <w:sz w:val="21"/>
                <w:szCs w:val="21"/>
                <w:highlight w:val="none"/>
              </w:rPr>
              <w:t>炉内</w:t>
            </w:r>
            <w:r>
              <w:rPr>
                <w:rFonts w:hint="default" w:ascii="Times New Roman" w:hAnsi="Times New Roman" w:cs="Times New Roman"/>
                <w:color w:val="auto"/>
                <w:sz w:val="21"/>
                <w:szCs w:val="21"/>
                <w:highlight w:val="none"/>
                <w:lang w:eastAsia="zh-CN"/>
              </w:rPr>
              <w:t>压力为大气压时开始到炉内真空度达</w:t>
            </w:r>
            <w:r>
              <w:rPr>
                <w:rFonts w:hint="default" w:ascii="Times New Roman" w:hAnsi="Times New Roman" w:cs="Times New Roman"/>
                <w:color w:val="auto"/>
                <w:sz w:val="21"/>
                <w:szCs w:val="21"/>
                <w:highlight w:val="none"/>
              </w:rPr>
              <w:t>到规定的极限</w:t>
            </w:r>
            <w:r>
              <w:rPr>
                <w:rFonts w:hint="default" w:ascii="Times New Roman" w:hAnsi="Times New Roman" w:cs="Times New Roman"/>
                <w:color w:val="auto"/>
                <w:sz w:val="21"/>
                <w:szCs w:val="21"/>
                <w:highlight w:val="none"/>
                <w:lang w:eastAsia="zh-CN"/>
              </w:rPr>
              <w:t>真空度</w:t>
            </w:r>
            <w:r>
              <w:rPr>
                <w:rFonts w:hint="default" w:ascii="Times New Roman" w:hAnsi="Times New Roman" w:cs="Times New Roman"/>
                <w:color w:val="auto"/>
                <w:sz w:val="21"/>
                <w:szCs w:val="21"/>
                <w:highlight w:val="none"/>
              </w:rPr>
              <w:t>为止的时间即为空炉抽气时间。油扩散泵和油增压泵的预热时间不包括在空炉抽气时间</w:t>
            </w:r>
            <w:r>
              <w:rPr>
                <w:rFonts w:hint="default" w:ascii="Times New Roman" w:hAnsi="Times New Roman" w:cs="Times New Roman"/>
                <w:color w:val="auto"/>
                <w:sz w:val="21"/>
                <w:szCs w:val="21"/>
                <w:highlight w:val="none"/>
                <w:lang w:eastAsia="zh-CN"/>
              </w:rPr>
              <w:t>之</w:t>
            </w:r>
            <w:r>
              <w:rPr>
                <w:rFonts w:hint="default" w:ascii="Times New Roman" w:hAnsi="Times New Roman" w:cs="Times New Roman"/>
                <w:color w:val="auto"/>
                <w:sz w:val="21"/>
                <w:szCs w:val="21"/>
                <w:highlight w:val="none"/>
              </w:rPr>
              <w:t>内。</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de-DE" w:eastAsia="zh-CN" w:bidi="ar-SA"/>
              </w:rPr>
            </w:pPr>
            <w:r>
              <w:rPr>
                <w:rFonts w:hint="default" w:ascii="Times New Roman" w:hAnsi="Times New Roman" w:eastAsia="宋体" w:cs="Times New Roman"/>
                <w:kern w:val="2"/>
                <w:sz w:val="21"/>
                <w:szCs w:val="21"/>
                <w:highlight w:val="none"/>
                <w:lang w:val="de-DE" w:eastAsia="zh-CN" w:bidi="ar-SA"/>
              </w:rPr>
              <w:t>在空炉冷态情况下，用真空炉本身配套的真空系统对炉子进行抽空，从炉内压力为大气压开始到炉内真空度达到产品标准中规定的极限压力为止的时间即为真空炉抽气时间。油扩散系和油增压泵的预热时间不包括在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6.11　压升率</w:t>
            </w:r>
          </w:p>
        </w:tc>
        <w:tc>
          <w:tcPr>
            <w:tcW w:w="2060" w:type="pct"/>
            <w:vAlign w:val="center"/>
          </w:tcPr>
          <w:p>
            <w:pPr>
              <w:pStyle w:val="14"/>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用关闭法测量，在上述真空度试验以后，在炉内达到极限真空度时关闭真空腔各通气口的所有阀门</w:t>
            </w:r>
            <w:r>
              <w:rPr>
                <w:rFonts w:hint="default" w:ascii="Times New Roman" w:hAnsi="Times New Roman" w:cs="Times New Roman"/>
                <w:color w:val="auto"/>
                <w:sz w:val="21"/>
                <w:szCs w:val="21"/>
                <w:highlight w:val="none"/>
                <w:lang w:val="en-US" w:eastAsia="zh-CN"/>
              </w:rPr>
              <w:t>，测量两次</w:t>
            </w:r>
            <w:r>
              <w:rPr>
                <w:rFonts w:hint="default" w:ascii="Times New Roman" w:hAnsi="Times New Roman" w:cs="Times New Roman"/>
                <w:color w:val="auto"/>
                <w:sz w:val="21"/>
                <w:szCs w:val="21"/>
                <w:highlight w:val="none"/>
                <w:lang w:eastAsia="zh-CN"/>
              </w:rPr>
              <w:t>真空腔内的</w:t>
            </w:r>
            <w:r>
              <w:rPr>
                <w:rFonts w:hint="default" w:ascii="Times New Roman" w:hAnsi="Times New Roman" w:cs="Times New Roman"/>
                <w:color w:val="auto"/>
                <w:sz w:val="21"/>
                <w:szCs w:val="21"/>
                <w:highlight w:val="none"/>
                <w:lang w:val="en-US" w:eastAsia="zh-CN"/>
              </w:rPr>
              <w:t>压力，两次测量读数应当用同一只真空计的同一测量档。压升率按公式（2）计算</w:t>
            </w:r>
            <w:r>
              <w:rPr>
                <w:rFonts w:hint="default" w:ascii="Times New Roman" w:hAnsi="Times New Roman" w:cs="Times New Roman"/>
                <w:color w:val="auto"/>
                <w:sz w:val="21"/>
                <w:szCs w:val="21"/>
                <w:highlight w:val="none"/>
              </w:rPr>
              <w:t>。</w:t>
            </w:r>
          </w:p>
          <w:p>
            <w:pPr>
              <w:pStyle w:val="14"/>
              <w:ind w:left="0" w:leftChars="0" w:firstLine="0" w:firstLineChars="0"/>
              <w:rPr>
                <w:rFonts w:hint="default" w:ascii="Times New Roman" w:hAnsi="Times New Roman" w:cs="Times New Roman"/>
                <w:color w:val="auto"/>
                <w:sz w:val="21"/>
                <w:szCs w:val="21"/>
                <w:highlight w:val="none"/>
                <w:lang w:val="en-US"/>
              </w:rPr>
            </w:pPr>
            <m:oMathPara>
              <m:oMath>
                <m:r>
                  <m:rPr>
                    <m:sty m:val="p"/>
                  </m:rPr>
                  <w:rPr>
                    <w:rFonts w:hint="default" w:ascii="Cambria Math" w:hAnsi="Cambria Math" w:cs="Times New Roman"/>
                    <w:color w:val="auto"/>
                    <w:sz w:val="21"/>
                    <w:szCs w:val="21"/>
                    <w:highlight w:val="none"/>
                    <w:lang w:val="en-US" w:eastAsia="zh-CN" w:bidi="ar-SA"/>
                  </w:rPr>
                  <m:t>Δ</m:t>
                </m:r>
                <m:r>
                  <m:rPr/>
                  <w:rPr>
                    <w:rFonts w:hint="default" w:ascii="Cambria Math" w:hAnsi="Cambria Math" w:cs="Times New Roman"/>
                    <w:color w:val="auto"/>
                    <w:sz w:val="21"/>
                    <w:szCs w:val="21"/>
                    <w:highlight w:val="none"/>
                    <w:lang w:val="en-US" w:eastAsia="zh-CN" w:bidi="ar-SA"/>
                  </w:rPr>
                  <m:t>p</m:t>
                </m:r>
                <m:r>
                  <m:rPr>
                    <m:sty m:val="p"/>
                  </m:rPr>
                  <w:rPr>
                    <w:rFonts w:hint="default" w:ascii="Cambria Math" w:hAnsi="Cambria Math" w:cs="Times New Roman"/>
                    <w:color w:val="auto"/>
                    <w:sz w:val="21"/>
                    <w:szCs w:val="21"/>
                    <w:highlight w:val="none"/>
                    <w:lang w:val="en-US" w:eastAsia="zh-CN" w:bidi="ar-SA"/>
                  </w:rPr>
                  <m:t>=</m:t>
                </m:r>
                <m:f>
                  <m:fPr>
                    <m:ctrlPr>
                      <w:rPr>
                        <w:rFonts w:hint="default" w:ascii="Cambria Math" w:hAnsi="Cambria Math" w:cs="Times New Roman"/>
                        <w:color w:val="auto"/>
                        <w:sz w:val="21"/>
                        <w:szCs w:val="21"/>
                        <w:highlight w:val="none"/>
                        <w:lang w:val="en-US" w:eastAsia="zh-CN" w:bidi="ar-SA"/>
                      </w:rPr>
                    </m:ctrlPr>
                  </m:fPr>
                  <m:num>
                    <m:sSub>
                      <m:sSubPr>
                        <m:ctrlPr>
                          <w:rPr>
                            <w:rFonts w:hint="default" w:ascii="Cambria Math" w:hAnsi="Cambria Math" w:cs="Times New Roman"/>
                            <w:i/>
                            <w:iCs/>
                            <w:color w:val="auto"/>
                            <w:sz w:val="21"/>
                            <w:szCs w:val="21"/>
                            <w:highlight w:val="none"/>
                            <w:lang w:val="en-US" w:eastAsia="zh-CN" w:bidi="ar-SA"/>
                          </w:rPr>
                        </m:ctrlPr>
                      </m:sSubPr>
                      <m:e>
                        <m:r>
                          <m:rPr/>
                          <w:rPr>
                            <w:rFonts w:hint="default" w:ascii="Cambria Math" w:hAnsi="Cambria Math" w:cs="Times New Roman"/>
                            <w:color w:val="auto"/>
                            <w:sz w:val="21"/>
                            <w:szCs w:val="21"/>
                            <w:highlight w:val="none"/>
                            <w:lang w:val="en-US" w:eastAsia="zh-CN" w:bidi="ar-SA"/>
                          </w:rPr>
                          <m:t>p</m:t>
                        </m:r>
                        <m:ctrlPr>
                          <w:rPr>
                            <w:rFonts w:hint="default" w:ascii="Cambria Math" w:hAnsi="Cambria Math" w:cs="Times New Roman"/>
                            <w:i/>
                            <w:iCs/>
                            <w:color w:val="auto"/>
                            <w:sz w:val="21"/>
                            <w:szCs w:val="21"/>
                            <w:highlight w:val="none"/>
                            <w:lang w:val="en-US" w:eastAsia="zh-CN" w:bidi="ar-SA"/>
                          </w:rPr>
                        </m:ctrlPr>
                      </m:e>
                      <m:sub>
                        <m:r>
                          <m:rPr/>
                          <w:rPr>
                            <w:rFonts w:hint="default" w:ascii="Cambria Math" w:hAnsi="Cambria Math" w:cs="Times New Roman"/>
                            <w:color w:val="auto"/>
                            <w:sz w:val="21"/>
                            <w:szCs w:val="21"/>
                            <w:highlight w:val="none"/>
                            <w:lang w:val="en-US" w:eastAsia="zh-CN" w:bidi="ar-SA"/>
                          </w:rPr>
                          <m:t>2</m:t>
                        </m:r>
                        <m:ctrlPr>
                          <w:rPr>
                            <w:rFonts w:hint="default" w:ascii="Cambria Math" w:hAnsi="Cambria Math" w:cs="Times New Roman"/>
                            <w:i/>
                            <w:iCs/>
                            <w:color w:val="auto"/>
                            <w:sz w:val="21"/>
                            <w:szCs w:val="21"/>
                            <w:highlight w:val="none"/>
                            <w:lang w:val="en-US" w:eastAsia="zh-CN" w:bidi="ar-SA"/>
                          </w:rPr>
                        </m:ctrlPr>
                      </m:sub>
                    </m:sSub>
                    <m:r>
                      <m:rPr>
                        <m:sty m:val="p"/>
                      </m:rPr>
                      <w:rPr>
                        <w:rFonts w:hint="default" w:ascii="Cambria Math" w:hAnsi="Cambria Math" w:cs="Times New Roman"/>
                        <w:color w:val="auto"/>
                        <w:sz w:val="21"/>
                        <w:szCs w:val="21"/>
                        <w:highlight w:val="none"/>
                        <w:lang w:val="en-US" w:eastAsia="zh-CN" w:bidi="ar-SA"/>
                      </w:rPr>
                      <m:t>−</m:t>
                    </m:r>
                    <m:sSub>
                      <m:sSubPr>
                        <m:ctrlPr>
                          <w:rPr>
                            <w:rFonts w:hint="default" w:ascii="Cambria Math" w:hAnsi="Cambria Math" w:cs="Times New Roman"/>
                            <w:i/>
                            <w:iCs/>
                            <w:color w:val="auto"/>
                            <w:sz w:val="21"/>
                            <w:szCs w:val="21"/>
                            <w:highlight w:val="none"/>
                            <w:lang w:val="en-US" w:eastAsia="zh-CN" w:bidi="ar-SA"/>
                          </w:rPr>
                        </m:ctrlPr>
                      </m:sSubPr>
                      <m:e>
                        <m:r>
                          <m:rPr/>
                          <w:rPr>
                            <w:rFonts w:hint="default" w:ascii="Cambria Math" w:hAnsi="Cambria Math" w:cs="Times New Roman"/>
                            <w:color w:val="auto"/>
                            <w:sz w:val="21"/>
                            <w:szCs w:val="21"/>
                            <w:highlight w:val="none"/>
                            <w:lang w:val="en-US" w:eastAsia="zh-CN" w:bidi="ar-SA"/>
                          </w:rPr>
                          <m:t>p</m:t>
                        </m:r>
                        <m:ctrlPr>
                          <w:rPr>
                            <w:rFonts w:hint="default" w:ascii="Cambria Math" w:hAnsi="Cambria Math" w:cs="Times New Roman"/>
                            <w:i/>
                            <w:iCs/>
                            <w:color w:val="auto"/>
                            <w:sz w:val="21"/>
                            <w:szCs w:val="21"/>
                            <w:highlight w:val="none"/>
                            <w:lang w:val="en-US" w:eastAsia="zh-CN" w:bidi="ar-SA"/>
                          </w:rPr>
                        </m:ctrlPr>
                      </m:e>
                      <m:sub>
                        <m:r>
                          <m:rPr/>
                          <w:rPr>
                            <w:rFonts w:hint="default" w:ascii="Cambria Math" w:hAnsi="Cambria Math" w:cs="Times New Roman"/>
                            <w:color w:val="auto"/>
                            <w:sz w:val="21"/>
                            <w:szCs w:val="21"/>
                            <w:highlight w:val="none"/>
                            <w:lang w:val="en-US" w:eastAsia="zh-CN" w:bidi="ar-SA"/>
                          </w:rPr>
                          <m:t>1</m:t>
                        </m:r>
                        <m:ctrlPr>
                          <w:rPr>
                            <w:rFonts w:hint="default" w:ascii="Cambria Math" w:hAnsi="Cambria Math" w:cs="Times New Roman"/>
                            <w:i/>
                            <w:iCs/>
                            <w:color w:val="auto"/>
                            <w:sz w:val="21"/>
                            <w:szCs w:val="21"/>
                            <w:highlight w:val="none"/>
                            <w:lang w:val="en-US" w:eastAsia="zh-CN" w:bidi="ar-SA"/>
                          </w:rPr>
                        </m:ctrlPr>
                      </m:sub>
                    </m:sSub>
                    <m:ctrlPr>
                      <w:rPr>
                        <w:rFonts w:hint="default" w:ascii="Cambria Math" w:hAnsi="Cambria Math" w:cs="Times New Roman"/>
                        <w:color w:val="auto"/>
                        <w:sz w:val="21"/>
                        <w:szCs w:val="21"/>
                        <w:highlight w:val="none"/>
                        <w:lang w:val="en-US" w:eastAsia="zh-CN" w:bidi="ar-SA"/>
                      </w:rPr>
                    </m:ctrlPr>
                  </m:num>
                  <m:den>
                    <m:r>
                      <m:rPr>
                        <m:sty m:val="p"/>
                      </m:rPr>
                      <w:rPr>
                        <w:rFonts w:hint="default" w:ascii="Cambria Math" w:hAnsi="Cambria Math" w:cs="Times New Roman"/>
                        <w:color w:val="auto"/>
                        <w:sz w:val="21"/>
                        <w:szCs w:val="21"/>
                        <w:highlight w:val="none"/>
                        <w:lang w:val="en-US" w:eastAsia="zh-CN" w:bidi="ar-SA"/>
                      </w:rPr>
                      <m:t>Δ</m:t>
                    </m:r>
                    <m:r>
                      <m:rPr/>
                      <w:rPr>
                        <w:rFonts w:hint="default" w:ascii="Cambria Math" w:hAnsi="Cambria Math" w:cs="Times New Roman"/>
                        <w:color w:val="auto"/>
                        <w:sz w:val="21"/>
                        <w:szCs w:val="21"/>
                        <w:highlight w:val="none"/>
                        <w:lang w:val="en-US" w:eastAsia="zh-CN" w:bidi="ar-SA"/>
                      </w:rPr>
                      <m:t>t</m:t>
                    </m:r>
                    <m:ctrlPr>
                      <w:rPr>
                        <w:rFonts w:hint="default" w:ascii="Cambria Math" w:hAnsi="Cambria Math" w:cs="Times New Roman"/>
                        <w:color w:val="auto"/>
                        <w:sz w:val="21"/>
                        <w:szCs w:val="21"/>
                        <w:highlight w:val="none"/>
                        <w:lang w:val="en-US" w:eastAsia="zh-CN" w:bidi="ar-SA"/>
                      </w:rPr>
                    </m:ctrlPr>
                  </m:den>
                </m:f>
              </m:oMath>
            </m:oMathPara>
          </w:p>
          <w:p>
            <w:pPr>
              <w:pStyle w:val="14"/>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式中：</w:t>
            </w:r>
          </w:p>
          <w:p>
            <w:pPr>
              <w:pStyle w:val="14"/>
              <w:rPr>
                <w:rFonts w:hint="default" w:ascii="Times New Roman" w:hAnsi="Times New Roman" w:cs="Times New Roman"/>
                <w:color w:val="auto"/>
                <w:sz w:val="21"/>
                <w:szCs w:val="21"/>
                <w:highlight w:val="none"/>
                <w:lang w:eastAsia="zh-CN"/>
              </w:rPr>
            </w:pPr>
            <m:oMath>
              <m:r>
                <m:rPr>
                  <m:sty m:val="p"/>
                </m:rPr>
                <w:rPr>
                  <w:rFonts w:hint="default" w:ascii="Cambria Math" w:hAnsi="Cambria Math" w:cs="Times New Roman"/>
                  <w:color w:val="auto"/>
                  <w:sz w:val="21"/>
                  <w:szCs w:val="21"/>
                  <w:highlight w:val="none"/>
                  <w:lang w:val="en-US" w:eastAsia="zh-CN" w:bidi="ar-SA"/>
                </w:rPr>
                <m:t>Δ</m:t>
              </m:r>
              <m:r>
                <m:rPr/>
                <w:rPr>
                  <w:rFonts w:hint="default" w:ascii="Cambria Math" w:hAnsi="Cambria Math" w:cs="Times New Roman"/>
                  <w:color w:val="auto"/>
                  <w:sz w:val="21"/>
                  <w:szCs w:val="21"/>
                  <w:highlight w:val="none"/>
                  <w:lang w:val="en-US" w:eastAsia="zh-CN" w:bidi="ar-SA"/>
                </w:rPr>
                <m:t>p</m:t>
              </m:r>
            </m:oMath>
            <w:r>
              <w:rPr>
                <w:rFonts w:hint="default" w:ascii="Times New Roman" w:hAnsi="Times New Roman" w:cs="Times New Roman"/>
                <w:i w:val="0"/>
                <w:color w:val="auto"/>
                <w:sz w:val="21"/>
                <w:szCs w:val="21"/>
                <w:highlight w:val="none"/>
                <w:lang w:val="en-US" w:eastAsia="zh-CN" w:bidi="ar-SA"/>
              </w:rPr>
              <w:t xml:space="preserve"> </w:t>
            </w: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val="en-US" w:eastAsia="zh-CN"/>
              </w:rPr>
              <w:t xml:space="preserve"> </w:t>
            </w:r>
            <w:r>
              <w:rPr>
                <w:rFonts w:hint="default" w:ascii="Times New Roman" w:hAnsi="Times New Roman" w:cs="Times New Roman"/>
                <w:color w:val="auto"/>
                <w:sz w:val="21"/>
                <w:szCs w:val="21"/>
                <w:highlight w:val="none"/>
                <w:lang w:eastAsia="zh-CN"/>
              </w:rPr>
              <w:t>压升率，单位为帕每小时（</w:t>
            </w:r>
            <w:r>
              <w:rPr>
                <w:rFonts w:hint="default" w:ascii="Times New Roman" w:hAnsi="Times New Roman" w:cs="Times New Roman"/>
                <w:color w:val="auto"/>
                <w:sz w:val="21"/>
                <w:szCs w:val="21"/>
                <w:highlight w:val="none"/>
                <w:lang w:val="en-US" w:eastAsia="zh-CN"/>
              </w:rPr>
              <w:t>Pa/h</w:t>
            </w:r>
            <w:r>
              <w:rPr>
                <w:rFonts w:hint="default" w:ascii="Times New Roman" w:hAnsi="Times New Roman" w:cs="Times New Roman"/>
                <w:color w:val="auto"/>
                <w:sz w:val="21"/>
                <w:szCs w:val="21"/>
                <w:highlight w:val="none"/>
                <w:lang w:eastAsia="zh-CN"/>
              </w:rPr>
              <w:t>）；</w:t>
            </w:r>
          </w:p>
          <w:p>
            <w:pPr>
              <w:pStyle w:val="14"/>
              <w:rPr>
                <w:rFonts w:hint="default" w:ascii="Times New Roman" w:hAnsi="Times New Roman" w:cs="Times New Roman"/>
                <w:color w:val="auto"/>
                <w:sz w:val="21"/>
                <w:szCs w:val="21"/>
                <w:highlight w:val="none"/>
                <w:lang w:val="en-US" w:eastAsia="zh-CN"/>
              </w:rPr>
            </w:pPr>
            <m:oMath>
              <m:sSub>
                <m:sSubPr>
                  <m:ctrlPr>
                    <w:rPr>
                      <w:rFonts w:hint="default" w:ascii="Cambria Math" w:hAnsi="Cambria Math" w:cs="Times New Roman"/>
                      <w:i/>
                      <w:iCs/>
                      <w:color w:val="auto"/>
                      <w:sz w:val="21"/>
                      <w:szCs w:val="21"/>
                      <w:highlight w:val="none"/>
                      <w:lang w:val="en-US" w:eastAsia="zh-CN" w:bidi="ar-SA"/>
                    </w:rPr>
                  </m:ctrlPr>
                </m:sSubPr>
                <m:e>
                  <m:r>
                    <m:rPr/>
                    <w:rPr>
                      <w:rFonts w:hint="default" w:ascii="Cambria Math" w:hAnsi="Cambria Math" w:cs="Times New Roman"/>
                      <w:color w:val="auto"/>
                      <w:sz w:val="21"/>
                      <w:szCs w:val="21"/>
                      <w:highlight w:val="none"/>
                      <w:lang w:val="en-US" w:eastAsia="zh-CN" w:bidi="ar-SA"/>
                    </w:rPr>
                    <m:t>p</m:t>
                  </m:r>
                  <m:ctrlPr>
                    <w:rPr>
                      <w:rFonts w:hint="default" w:ascii="Cambria Math" w:hAnsi="Cambria Math" w:cs="Times New Roman"/>
                      <w:i/>
                      <w:iCs/>
                      <w:color w:val="auto"/>
                      <w:sz w:val="21"/>
                      <w:szCs w:val="21"/>
                      <w:highlight w:val="none"/>
                      <w:lang w:val="en-US" w:eastAsia="zh-CN" w:bidi="ar-SA"/>
                    </w:rPr>
                  </m:ctrlPr>
                </m:e>
                <m:sub>
                  <m:r>
                    <m:rPr/>
                    <w:rPr>
                      <w:rFonts w:hint="default" w:ascii="Cambria Math" w:hAnsi="Cambria Math" w:cs="Times New Roman"/>
                      <w:color w:val="auto"/>
                      <w:sz w:val="21"/>
                      <w:szCs w:val="21"/>
                      <w:highlight w:val="none"/>
                      <w:lang w:val="en-US" w:eastAsia="zh-CN" w:bidi="ar-SA"/>
                    </w:rPr>
                    <m:t>1</m:t>
                  </m:r>
                  <m:ctrlPr>
                    <w:rPr>
                      <w:rFonts w:hint="default" w:ascii="Cambria Math" w:hAnsi="Cambria Math" w:cs="Times New Roman"/>
                      <w:i/>
                      <w:iCs/>
                      <w:color w:val="auto"/>
                      <w:sz w:val="21"/>
                      <w:szCs w:val="21"/>
                      <w:highlight w:val="none"/>
                      <w:lang w:val="en-US" w:eastAsia="zh-CN" w:bidi="ar-SA"/>
                    </w:rPr>
                  </m:ctrlPr>
                </m:sub>
              </m:sSub>
            </m:oMath>
            <w:r>
              <w:rPr>
                <w:rFonts w:hint="default" w:ascii="Times New Roman" w:hAnsi="Times New Roman" w:cs="Times New Roman"/>
                <w:i w:val="0"/>
                <w:iCs/>
                <w:color w:val="auto"/>
                <w:sz w:val="21"/>
                <w:szCs w:val="21"/>
                <w:highlight w:val="none"/>
                <w:lang w:val="en-US" w:eastAsia="zh-CN" w:bidi="ar-SA"/>
              </w:rPr>
              <w:t xml:space="preserve"> </w:t>
            </w: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val="en-US" w:eastAsia="zh-CN"/>
              </w:rPr>
              <w:t xml:space="preserve"> </w:t>
            </w:r>
            <w:r>
              <w:rPr>
                <w:rFonts w:hint="default" w:ascii="Times New Roman" w:hAnsi="Times New Roman" w:cs="Times New Roman"/>
                <w:color w:val="auto"/>
                <w:sz w:val="21"/>
                <w:szCs w:val="21"/>
                <w:highlight w:val="none"/>
                <w:lang w:eastAsia="zh-CN"/>
              </w:rPr>
              <w:t>第一次读数时（一般为关闭真空阀门后</w:t>
            </w:r>
            <w:r>
              <w:rPr>
                <w:rFonts w:hint="default" w:ascii="Times New Roman" w:hAnsi="Times New Roman" w:cs="Times New Roman"/>
                <w:color w:val="auto"/>
                <w:sz w:val="21"/>
                <w:szCs w:val="21"/>
                <w:highlight w:val="none"/>
                <w:lang w:val="en-US" w:eastAsia="zh-CN"/>
              </w:rPr>
              <w:t>15 min</w:t>
            </w:r>
            <w:r>
              <w:rPr>
                <w:rFonts w:hint="default" w:ascii="Times New Roman" w:hAnsi="Times New Roman" w:cs="Times New Roman"/>
                <w:color w:val="auto"/>
                <w:sz w:val="21"/>
                <w:szCs w:val="21"/>
                <w:highlight w:val="none"/>
                <w:lang w:eastAsia="zh-CN"/>
              </w:rPr>
              <w:t>）真空腔内的压力，单位为帕（</w:t>
            </w:r>
            <w:r>
              <w:rPr>
                <w:rFonts w:hint="default" w:ascii="Times New Roman" w:hAnsi="Times New Roman" w:cs="Times New Roman"/>
                <w:color w:val="auto"/>
                <w:sz w:val="21"/>
                <w:szCs w:val="21"/>
                <w:highlight w:val="none"/>
                <w:lang w:val="en-US" w:eastAsia="zh-CN"/>
              </w:rPr>
              <w:t>Pa</w:t>
            </w:r>
            <w:r>
              <w:rPr>
                <w:rFonts w:hint="default" w:ascii="Times New Roman" w:hAnsi="Times New Roman" w:cs="Times New Roman"/>
                <w:color w:val="auto"/>
                <w:sz w:val="21"/>
                <w:szCs w:val="21"/>
                <w:highlight w:val="none"/>
                <w:lang w:eastAsia="zh-CN"/>
              </w:rPr>
              <w:t>）；</w:t>
            </w:r>
          </w:p>
          <w:p>
            <w:pPr>
              <w:pStyle w:val="14"/>
              <w:rPr>
                <w:rFonts w:hint="default" w:ascii="Times New Roman" w:hAnsi="Times New Roman" w:cs="Times New Roman"/>
                <w:color w:val="auto"/>
                <w:sz w:val="21"/>
                <w:szCs w:val="21"/>
                <w:highlight w:val="none"/>
                <w:lang w:val="en-US" w:eastAsia="zh-CN"/>
              </w:rPr>
            </w:pPr>
            <m:oMath>
              <m:sSub>
                <m:sSubPr>
                  <m:ctrlPr>
                    <w:rPr>
                      <w:rFonts w:hint="default" w:ascii="Cambria Math" w:hAnsi="Cambria Math" w:cs="Times New Roman"/>
                      <w:i/>
                      <w:iCs/>
                      <w:color w:val="auto"/>
                      <w:sz w:val="21"/>
                      <w:szCs w:val="21"/>
                      <w:highlight w:val="none"/>
                      <w:lang w:val="en-US" w:eastAsia="zh-CN" w:bidi="ar-SA"/>
                    </w:rPr>
                  </m:ctrlPr>
                </m:sSubPr>
                <m:e>
                  <m:r>
                    <m:rPr/>
                    <w:rPr>
                      <w:rFonts w:hint="default" w:ascii="Cambria Math" w:hAnsi="Cambria Math" w:cs="Times New Roman"/>
                      <w:color w:val="auto"/>
                      <w:sz w:val="21"/>
                      <w:szCs w:val="21"/>
                      <w:highlight w:val="none"/>
                      <w:lang w:val="en-US" w:eastAsia="zh-CN" w:bidi="ar-SA"/>
                    </w:rPr>
                    <m:t>p</m:t>
                  </m:r>
                  <m:ctrlPr>
                    <w:rPr>
                      <w:rFonts w:hint="default" w:ascii="Cambria Math" w:hAnsi="Cambria Math" w:cs="Times New Roman"/>
                      <w:i/>
                      <w:iCs/>
                      <w:color w:val="auto"/>
                      <w:sz w:val="21"/>
                      <w:szCs w:val="21"/>
                      <w:highlight w:val="none"/>
                      <w:lang w:val="en-US" w:eastAsia="zh-CN" w:bidi="ar-SA"/>
                    </w:rPr>
                  </m:ctrlPr>
                </m:e>
                <m:sub>
                  <m:r>
                    <m:rPr/>
                    <w:rPr>
                      <w:rFonts w:hint="default" w:ascii="Cambria Math" w:hAnsi="Cambria Math" w:cs="Times New Roman"/>
                      <w:color w:val="auto"/>
                      <w:sz w:val="21"/>
                      <w:szCs w:val="21"/>
                      <w:highlight w:val="none"/>
                      <w:lang w:val="en-US" w:eastAsia="zh-CN" w:bidi="ar-SA"/>
                    </w:rPr>
                    <m:t>2</m:t>
                  </m:r>
                  <m:ctrlPr>
                    <w:rPr>
                      <w:rFonts w:hint="default" w:ascii="Cambria Math" w:hAnsi="Cambria Math" w:cs="Times New Roman"/>
                      <w:i/>
                      <w:iCs/>
                      <w:color w:val="auto"/>
                      <w:sz w:val="21"/>
                      <w:szCs w:val="21"/>
                      <w:highlight w:val="none"/>
                      <w:lang w:val="en-US" w:eastAsia="zh-CN" w:bidi="ar-SA"/>
                    </w:rPr>
                  </m:ctrlPr>
                </m:sub>
              </m:sSub>
            </m:oMath>
            <w:r>
              <w:rPr>
                <w:rFonts w:hint="default" w:ascii="Times New Roman" w:hAnsi="Times New Roman" w:cs="Times New Roman"/>
                <w:i w:val="0"/>
                <w:iCs/>
                <w:color w:val="auto"/>
                <w:sz w:val="21"/>
                <w:szCs w:val="21"/>
                <w:highlight w:val="none"/>
                <w:lang w:val="en-US" w:eastAsia="zh-CN" w:bidi="ar-SA"/>
              </w:rPr>
              <w:t xml:space="preserve"> </w:t>
            </w: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val="en-US" w:eastAsia="zh-CN"/>
              </w:rPr>
              <w:t xml:space="preserve"> </w:t>
            </w:r>
            <w:r>
              <w:rPr>
                <w:rFonts w:hint="default" w:ascii="Times New Roman" w:hAnsi="Times New Roman" w:cs="Times New Roman"/>
                <w:color w:val="auto"/>
                <w:sz w:val="21"/>
                <w:szCs w:val="21"/>
                <w:highlight w:val="none"/>
                <w:lang w:eastAsia="zh-CN"/>
              </w:rPr>
              <w:t>第二次读数时真空腔内的压力，单位为帕（</w:t>
            </w:r>
            <w:r>
              <w:rPr>
                <w:rFonts w:hint="default" w:ascii="Times New Roman" w:hAnsi="Times New Roman" w:cs="Times New Roman"/>
                <w:color w:val="auto"/>
                <w:sz w:val="21"/>
                <w:szCs w:val="21"/>
                <w:highlight w:val="none"/>
                <w:lang w:val="en-US" w:eastAsia="zh-CN"/>
              </w:rPr>
              <w:t>Pa</w:t>
            </w:r>
            <w:r>
              <w:rPr>
                <w:rFonts w:hint="default" w:ascii="Times New Roman" w:hAnsi="Times New Roman" w:cs="Times New Roman"/>
                <w:color w:val="auto"/>
                <w:sz w:val="21"/>
                <w:szCs w:val="21"/>
                <w:highlight w:val="none"/>
                <w:lang w:eastAsia="zh-CN"/>
              </w:rPr>
              <w:t>）；</w:t>
            </w:r>
          </w:p>
          <w:p>
            <w:pPr>
              <w:pStyle w:val="14"/>
              <w:rPr>
                <w:rFonts w:hint="default" w:ascii="Times New Roman" w:hAnsi="Times New Roman" w:eastAsia="宋体" w:cs="Times New Roman"/>
                <w:kern w:val="2"/>
                <w:sz w:val="21"/>
                <w:szCs w:val="21"/>
                <w:highlight w:val="none"/>
                <w:lang w:val="en-US" w:eastAsia="zh-CN" w:bidi="ar-SA"/>
              </w:rPr>
            </w:pPr>
            <m:oMath>
              <m:r>
                <m:rPr>
                  <m:sty m:val="p"/>
                </m:rPr>
                <w:rPr>
                  <w:rFonts w:hint="default" w:ascii="Cambria Math" w:hAnsi="Cambria Math" w:cs="Times New Roman"/>
                  <w:color w:val="auto"/>
                  <w:sz w:val="21"/>
                  <w:szCs w:val="21"/>
                  <w:highlight w:val="none"/>
                  <w:lang w:val="en-US" w:eastAsia="zh-CN" w:bidi="ar-SA"/>
                </w:rPr>
                <m:t>Δ</m:t>
              </m:r>
              <m:r>
                <m:rPr/>
                <w:rPr>
                  <w:rFonts w:hint="default" w:ascii="Cambria Math" w:hAnsi="Cambria Math" w:cs="Times New Roman"/>
                  <w:color w:val="auto"/>
                  <w:sz w:val="21"/>
                  <w:szCs w:val="21"/>
                  <w:highlight w:val="none"/>
                  <w:lang w:val="en-US" w:eastAsia="zh-CN" w:bidi="ar-SA"/>
                </w:rPr>
                <m:t>t</m:t>
              </m:r>
            </m:oMath>
            <w:r>
              <w:rPr>
                <w:rFonts w:hint="default" w:ascii="Times New Roman" w:hAnsi="Times New Roman" w:cs="Times New Roman"/>
                <w:i w:val="0"/>
                <w:color w:val="auto"/>
                <w:sz w:val="21"/>
                <w:szCs w:val="21"/>
                <w:highlight w:val="none"/>
                <w:lang w:val="en-US" w:eastAsia="zh-CN" w:bidi="ar-SA"/>
              </w:rPr>
              <w:t xml:space="preserve"> </w:t>
            </w: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val="en-US" w:eastAsia="zh-CN"/>
              </w:rPr>
              <w:t xml:space="preserve"> </w:t>
            </w:r>
            <w:r>
              <w:rPr>
                <w:rFonts w:hint="default" w:ascii="Times New Roman" w:hAnsi="Times New Roman" w:cs="Times New Roman"/>
                <w:color w:val="auto"/>
                <w:sz w:val="21"/>
                <w:szCs w:val="21"/>
                <w:highlight w:val="none"/>
                <w:lang w:eastAsia="zh-CN"/>
              </w:rPr>
              <w:t>两次读数的时间间隔，单位为小时（</w:t>
            </w:r>
            <w:r>
              <w:rPr>
                <w:rFonts w:hint="default" w:ascii="Times New Roman" w:hAnsi="Times New Roman" w:cs="Times New Roman"/>
                <w:color w:val="auto"/>
                <w:sz w:val="21"/>
                <w:szCs w:val="21"/>
                <w:highlight w:val="none"/>
                <w:lang w:val="en-US" w:eastAsia="zh-CN"/>
              </w:rPr>
              <w:t>h</w:t>
            </w:r>
            <w:r>
              <w:rPr>
                <w:rFonts w:hint="default" w:ascii="Times New Roman" w:hAnsi="Times New Roman" w:cs="Times New Roman"/>
                <w:color w:val="auto"/>
                <w:sz w:val="21"/>
                <w:szCs w:val="21"/>
                <w:highlight w:val="none"/>
                <w:lang w:eastAsia="zh-CN"/>
              </w:rPr>
              <w:t>），</w:t>
            </w:r>
            <m:oMath>
              <m:r>
                <m:rPr>
                  <m:sty m:val="p"/>
                </m:rPr>
                <w:rPr>
                  <w:rFonts w:hint="default" w:ascii="Cambria Math" w:hAnsi="Cambria Math" w:cs="Times New Roman"/>
                  <w:color w:val="auto"/>
                  <w:sz w:val="21"/>
                  <w:szCs w:val="21"/>
                  <w:highlight w:val="none"/>
                  <w:lang w:val="en-US" w:eastAsia="zh-CN" w:bidi="ar-SA"/>
                </w:rPr>
                <m:t>Δ</m:t>
              </m:r>
              <m:r>
                <m:rPr/>
                <w:rPr>
                  <w:rFonts w:hint="default" w:ascii="Cambria Math" w:hAnsi="Cambria Math" w:cs="Times New Roman"/>
                  <w:color w:val="auto"/>
                  <w:sz w:val="21"/>
                  <w:szCs w:val="21"/>
                  <w:highlight w:val="none"/>
                  <w:lang w:val="en-US" w:eastAsia="zh-CN" w:bidi="ar-SA"/>
                </w:rPr>
                <m:t>t</m:t>
              </m:r>
            </m:oMath>
            <w:r>
              <w:rPr>
                <w:rFonts w:hint="default" w:ascii="Times New Roman" w:hAnsi="Times New Roman" w:cs="Times New Roman"/>
                <w:i w:val="0"/>
                <w:color w:val="auto"/>
                <w:sz w:val="21"/>
                <w:szCs w:val="21"/>
                <w:highlight w:val="none"/>
                <w:lang w:val="en-US" w:eastAsia="zh-CN" w:bidi="ar-SA"/>
              </w:rPr>
              <w:t xml:space="preserve"> 应不小于 0.5 </w:t>
            </w:r>
            <w:r>
              <w:rPr>
                <w:rFonts w:hint="default" w:ascii="Times New Roman" w:hAnsi="Times New Roman" w:cs="Times New Roman"/>
                <w:color w:val="auto"/>
                <w:sz w:val="21"/>
                <w:szCs w:val="21"/>
                <w:highlight w:val="none"/>
                <w:lang w:val="en-US" w:eastAsia="zh-CN"/>
              </w:rPr>
              <w:t>h。</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de-DE" w:eastAsia="zh-CN" w:bidi="ar-SA"/>
              </w:rPr>
            </w:pPr>
            <w:r>
              <w:rPr>
                <w:rFonts w:hint="default" w:ascii="Times New Roman" w:hAnsi="Times New Roman" w:eastAsia="宋体" w:cs="Times New Roman"/>
                <w:kern w:val="2"/>
                <w:sz w:val="21"/>
                <w:szCs w:val="21"/>
                <w:highlight w:val="none"/>
                <w:lang w:val="de-DE" w:eastAsia="zh-CN" w:bidi="ar-SA"/>
              </w:rPr>
              <w:t>按GB/T10066.1-2004中7.1.10.3 的规定测量。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6.12　其他参数</w:t>
            </w:r>
          </w:p>
        </w:tc>
        <w:tc>
          <w:tcPr>
            <w:tcW w:w="2060"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按GB/T 10067.4-2005中第6章的规定，或由供需双方协商确定的试验方法进行。</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de-DE"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7 检验规则</w:t>
            </w:r>
          </w:p>
        </w:tc>
        <w:tc>
          <w:tcPr>
            <w:tcW w:w="2060"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de-DE"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7.1　检验分类</w:t>
            </w:r>
          </w:p>
        </w:tc>
        <w:tc>
          <w:tcPr>
            <w:tcW w:w="2060"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产品应分别进行出厂检验、型式检验。</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de-DE"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7.2　检验项目</w:t>
            </w:r>
          </w:p>
        </w:tc>
        <w:tc>
          <w:tcPr>
            <w:tcW w:w="2060"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de-DE"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7.2.1 出厂检验</w:t>
            </w:r>
          </w:p>
        </w:tc>
        <w:tc>
          <w:tcPr>
            <w:tcW w:w="2060" w:type="pct"/>
            <w:vAlign w:val="center"/>
          </w:tcPr>
          <w:p>
            <w:pPr>
              <w:pStyle w:val="18"/>
              <w:numPr>
                <w:ilvl w:val="2"/>
                <w:numId w:val="0"/>
              </w:numPr>
              <w:ind w:left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一般</w:t>
            </w:r>
            <w:r>
              <w:rPr>
                <w:rFonts w:hint="default" w:ascii="Times New Roman" w:hAnsi="Times New Roman" w:cs="Times New Roman"/>
                <w:color w:val="auto"/>
                <w:sz w:val="21"/>
                <w:szCs w:val="21"/>
                <w:highlight w:val="none"/>
              </w:rPr>
              <w:t>包括</w:t>
            </w:r>
            <w:r>
              <w:rPr>
                <w:rFonts w:hint="default" w:ascii="Times New Roman" w:hAnsi="Times New Roman" w:cs="Times New Roman"/>
                <w:color w:val="auto"/>
                <w:sz w:val="21"/>
                <w:szCs w:val="21"/>
                <w:highlight w:val="none"/>
                <w:lang w:eastAsia="zh-CN"/>
              </w:rPr>
              <w:t>以下项目</w:t>
            </w:r>
            <w:r>
              <w:rPr>
                <w:rFonts w:hint="default" w:ascii="Times New Roman" w:hAnsi="Times New Roman" w:cs="Times New Roman"/>
                <w:color w:val="auto"/>
                <w:sz w:val="21"/>
                <w:szCs w:val="21"/>
                <w:highlight w:val="none"/>
              </w:rPr>
              <w:t>：</w:t>
            </w:r>
          </w:p>
          <w:p>
            <w:pPr>
              <w:pStyle w:val="20"/>
              <w:numPr>
                <w:ilvl w:val="0"/>
                <w:numId w:val="4"/>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一般检查，包括主要尺寸（按设计图）、电气、水路、气路、液压系统等；</w:t>
            </w:r>
          </w:p>
          <w:p>
            <w:pPr>
              <w:pStyle w:val="20"/>
              <w:numPr>
                <w:ilvl w:val="0"/>
                <w:numId w:val="4"/>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最大静态载荷</w:t>
            </w:r>
            <w:r>
              <w:rPr>
                <w:rFonts w:hint="default" w:ascii="Times New Roman" w:hAnsi="Times New Roman" w:cs="Times New Roman"/>
                <w:color w:val="auto"/>
                <w:sz w:val="21"/>
                <w:szCs w:val="21"/>
                <w:highlight w:val="none"/>
                <w:lang w:eastAsia="zh-CN"/>
              </w:rPr>
              <w:t>；</w:t>
            </w:r>
          </w:p>
          <w:p>
            <w:pPr>
              <w:pStyle w:val="20"/>
              <w:numPr>
                <w:ilvl w:val="0"/>
                <w:numId w:val="4"/>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振荡载荷；</w:t>
            </w:r>
          </w:p>
          <w:p>
            <w:pPr>
              <w:pStyle w:val="20"/>
              <w:numPr>
                <w:ilvl w:val="0"/>
                <w:numId w:val="4"/>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振荡频率；</w:t>
            </w:r>
          </w:p>
          <w:p>
            <w:pPr>
              <w:pStyle w:val="20"/>
              <w:numPr>
                <w:ilvl w:val="0"/>
                <w:numId w:val="4"/>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最高温度；</w:t>
            </w:r>
          </w:p>
          <w:p>
            <w:pPr>
              <w:pStyle w:val="20"/>
              <w:numPr>
                <w:ilvl w:val="0"/>
                <w:numId w:val="4"/>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工作温度；</w:t>
            </w:r>
          </w:p>
          <w:p>
            <w:pPr>
              <w:pStyle w:val="20"/>
              <w:numPr>
                <w:ilvl w:val="0"/>
                <w:numId w:val="4"/>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炉温均匀性；</w:t>
            </w:r>
          </w:p>
          <w:p>
            <w:pPr>
              <w:pStyle w:val="20"/>
              <w:numPr>
                <w:ilvl w:val="0"/>
                <w:numId w:val="4"/>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空炉升温速率；</w:t>
            </w:r>
          </w:p>
          <w:p>
            <w:pPr>
              <w:pStyle w:val="20"/>
              <w:numPr>
                <w:ilvl w:val="0"/>
                <w:numId w:val="4"/>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控温精度；</w:t>
            </w:r>
          </w:p>
          <w:p>
            <w:pPr>
              <w:pStyle w:val="20"/>
              <w:numPr>
                <w:ilvl w:val="0"/>
                <w:numId w:val="4"/>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冷态极限真空度；</w:t>
            </w:r>
          </w:p>
          <w:p>
            <w:pPr>
              <w:pStyle w:val="20"/>
              <w:numPr>
                <w:ilvl w:val="0"/>
                <w:numId w:val="4"/>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空炉</w:t>
            </w:r>
            <w:r>
              <w:rPr>
                <w:rFonts w:hint="default" w:ascii="Times New Roman" w:hAnsi="Times New Roman" w:cs="Times New Roman"/>
                <w:color w:val="auto"/>
                <w:sz w:val="21"/>
                <w:szCs w:val="21"/>
                <w:highlight w:val="none"/>
              </w:rPr>
              <w:t>抽气时间</w:t>
            </w:r>
            <w:r>
              <w:rPr>
                <w:rFonts w:hint="default" w:ascii="Times New Roman" w:hAnsi="Times New Roman" w:cs="Times New Roman"/>
                <w:color w:val="auto"/>
                <w:sz w:val="21"/>
                <w:szCs w:val="21"/>
                <w:highlight w:val="none"/>
                <w:lang w:eastAsia="zh-CN"/>
              </w:rPr>
              <w:t>；</w:t>
            </w:r>
          </w:p>
          <w:p>
            <w:pPr>
              <w:pStyle w:val="20"/>
              <w:numPr>
                <w:ilvl w:val="0"/>
                <w:numId w:val="4"/>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压升率；</w:t>
            </w:r>
          </w:p>
          <w:p>
            <w:pPr>
              <w:pStyle w:val="20"/>
              <w:numPr>
                <w:ilvl w:val="0"/>
                <w:numId w:val="4"/>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配套件，包括型号、规格和出厂合格证件；</w:t>
            </w:r>
          </w:p>
          <w:p>
            <w:pPr>
              <w:pStyle w:val="20"/>
              <w:numPr>
                <w:ilvl w:val="0"/>
                <w:numId w:val="4"/>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供货范围，包括出厂技术文件完整性；</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color w:val="auto"/>
                <w:sz w:val="21"/>
                <w:szCs w:val="21"/>
                <w:highlight w:val="none"/>
              </w:rPr>
              <w:t>包装。</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de-DE" w:eastAsia="zh-CN" w:bidi="ar-SA"/>
              </w:rPr>
            </w:pPr>
            <w:r>
              <w:rPr>
                <w:rFonts w:hint="default" w:ascii="Times New Roman" w:hAnsi="Times New Roman" w:eastAsia="宋体" w:cs="Times New Roman"/>
                <w:kern w:val="2"/>
                <w:sz w:val="21"/>
                <w:szCs w:val="21"/>
                <w:highlight w:val="none"/>
                <w:lang w:val="de-DE" w:eastAsia="zh-CN" w:bidi="ar-SA"/>
              </w:rPr>
              <w:t>7.2 出厂检验</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de-DE" w:eastAsia="zh-CN" w:bidi="ar-SA"/>
              </w:rPr>
            </w:pPr>
            <w:r>
              <w:rPr>
                <w:rFonts w:hint="default" w:ascii="Times New Roman" w:hAnsi="Times New Roman" w:eastAsia="宋体" w:cs="Times New Roman"/>
                <w:kern w:val="2"/>
                <w:sz w:val="21"/>
                <w:szCs w:val="21"/>
                <w:highlight w:val="none"/>
                <w:lang w:val="de-DE" w:eastAsia="zh-CN" w:bidi="ar-SA"/>
              </w:rPr>
              <w:t>a)极限压力的测量；</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de-DE" w:eastAsia="zh-CN" w:bidi="ar-SA"/>
              </w:rPr>
            </w:pPr>
            <w:r>
              <w:rPr>
                <w:rFonts w:hint="default" w:ascii="Times New Roman" w:hAnsi="Times New Roman" w:eastAsia="宋体" w:cs="Times New Roman"/>
                <w:kern w:val="2"/>
                <w:sz w:val="21"/>
                <w:szCs w:val="21"/>
                <w:highlight w:val="none"/>
                <w:lang w:val="de-DE" w:eastAsia="zh-CN" w:bidi="ar-SA"/>
              </w:rPr>
              <w:t>b)升压率的测量；</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de-DE" w:eastAsia="zh-CN" w:bidi="ar-SA"/>
              </w:rPr>
            </w:pPr>
            <w:r>
              <w:rPr>
                <w:rFonts w:hint="default" w:ascii="Times New Roman" w:hAnsi="Times New Roman" w:eastAsia="宋体" w:cs="Times New Roman"/>
                <w:kern w:val="2"/>
                <w:sz w:val="21"/>
                <w:szCs w:val="21"/>
                <w:highlight w:val="none"/>
                <w:lang w:val="de-DE" w:eastAsia="zh-CN" w:bidi="ar-SA"/>
              </w:rPr>
              <w:t>c)配套件的检查，包括型号、规格和出厂合格证件的检查；</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de-DE" w:eastAsia="zh-CN" w:bidi="ar-SA"/>
              </w:rPr>
            </w:pPr>
            <w:r>
              <w:rPr>
                <w:rFonts w:hint="default" w:ascii="Times New Roman" w:hAnsi="Times New Roman" w:eastAsia="宋体" w:cs="Times New Roman"/>
                <w:kern w:val="2"/>
                <w:sz w:val="21"/>
                <w:szCs w:val="21"/>
                <w:highlight w:val="none"/>
                <w:lang w:val="de-DE" w:eastAsia="zh-CN" w:bidi="ar-SA"/>
              </w:rPr>
              <w:t>d)供货范围，包括出厂技术文件完整性的检查；</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de-DE" w:eastAsia="zh-CN" w:bidi="ar-SA"/>
              </w:rPr>
            </w:pPr>
            <w:r>
              <w:rPr>
                <w:rFonts w:hint="default" w:ascii="Times New Roman" w:hAnsi="Times New Roman" w:eastAsia="宋体" w:cs="Times New Roman"/>
                <w:kern w:val="2"/>
                <w:sz w:val="21"/>
                <w:szCs w:val="21"/>
                <w:highlight w:val="none"/>
                <w:lang w:val="de-DE" w:eastAsia="zh-CN" w:bidi="ar-SA"/>
              </w:rPr>
              <w:t>e)包装检查。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7.2.2 型式检验</w:t>
            </w:r>
          </w:p>
        </w:tc>
        <w:tc>
          <w:tcPr>
            <w:tcW w:w="2060" w:type="pct"/>
            <w:vAlign w:val="center"/>
          </w:tcPr>
          <w:p>
            <w:pPr>
              <w:pStyle w:val="21"/>
              <w:numPr>
                <w:ilvl w:val="3"/>
                <w:numId w:val="0"/>
              </w:numPr>
              <w:bidi w:val="0"/>
              <w:ind w:leftChars="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highlight w:val="none"/>
                <w:lang w:val="en-US" w:eastAsia="zh-CN"/>
              </w:rPr>
              <w:t xml:space="preserve">7.2.2.1 </w:t>
            </w:r>
            <w:r>
              <w:rPr>
                <w:rFonts w:hint="default" w:ascii="Times New Roman" w:hAnsi="Times New Roman" w:eastAsia="宋体" w:cs="Times New Roman"/>
                <w:color w:val="auto"/>
                <w:highlight w:val="none"/>
              </w:rPr>
              <w:t>型式检验</w:t>
            </w:r>
            <w:r>
              <w:rPr>
                <w:rFonts w:hint="default" w:ascii="Times New Roman" w:hAnsi="Times New Roman" w:eastAsia="宋体" w:cs="Times New Roman"/>
                <w:color w:val="auto"/>
                <w:highlight w:val="none"/>
                <w:lang w:eastAsia="zh-CN"/>
              </w:rPr>
              <w:t>一般由制造厂负责进行，或由供需双方协商。</w:t>
            </w:r>
          </w:p>
          <w:p>
            <w:pPr>
              <w:pStyle w:val="21"/>
              <w:numPr>
                <w:ilvl w:val="3"/>
                <w:numId w:val="0"/>
              </w:numPr>
              <w:bidi w:val="0"/>
              <w:ind w:leftChars="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highlight w:val="none"/>
                <w:lang w:val="en-US" w:eastAsia="zh-CN"/>
              </w:rPr>
              <w:t xml:space="preserve">7.2.2.2 </w:t>
            </w:r>
            <w:r>
              <w:rPr>
                <w:rFonts w:hint="default" w:ascii="Times New Roman" w:hAnsi="Times New Roman" w:eastAsia="宋体" w:cs="Times New Roman"/>
                <w:color w:val="auto"/>
                <w:sz w:val="21"/>
                <w:szCs w:val="21"/>
                <w:highlight w:val="none"/>
                <w:lang w:eastAsia="zh-CN"/>
              </w:rPr>
              <w:t>凡属下列情况之一者应进行型式检验</w:t>
            </w:r>
            <w:r>
              <w:rPr>
                <w:rFonts w:hint="default" w:ascii="Times New Roman" w:hAnsi="Times New Roman" w:eastAsia="宋体" w:cs="Times New Roman"/>
                <w:color w:val="auto"/>
                <w:sz w:val="21"/>
                <w:szCs w:val="21"/>
                <w:highlight w:val="none"/>
              </w:rPr>
              <w:t>：</w:t>
            </w:r>
          </w:p>
          <w:p>
            <w:pPr>
              <w:pStyle w:val="20"/>
              <w:numPr>
                <w:ilvl w:val="0"/>
                <w:numId w:val="5"/>
              </w:numPr>
              <w:tabs>
                <w:tab w:val="left" w:pos="0"/>
                <w:tab w:val="clear" w:pos="840"/>
              </w:tabs>
              <w:ind w:left="0"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批量生产</w:t>
            </w:r>
            <w:r>
              <w:rPr>
                <w:rFonts w:hint="default" w:ascii="Times New Roman" w:hAnsi="Times New Roman" w:cs="Times New Roman"/>
                <w:color w:val="auto"/>
                <w:sz w:val="21"/>
                <w:szCs w:val="21"/>
                <w:highlight w:val="none"/>
              </w:rPr>
              <w:t>时每</w:t>
            </w:r>
            <w:r>
              <w:rPr>
                <w:rFonts w:hint="default" w:ascii="Times New Roman" w:hAnsi="Times New Roman" w:cs="Times New Roman"/>
                <w:color w:val="auto"/>
                <w:sz w:val="21"/>
                <w:szCs w:val="21"/>
                <w:highlight w:val="none"/>
                <w:lang w:eastAsia="zh-CN"/>
              </w:rPr>
              <w:t>三</w:t>
            </w:r>
            <w:r>
              <w:rPr>
                <w:rFonts w:hint="default" w:ascii="Times New Roman" w:hAnsi="Times New Roman" w:cs="Times New Roman"/>
                <w:color w:val="auto"/>
                <w:sz w:val="21"/>
                <w:szCs w:val="21"/>
                <w:highlight w:val="none"/>
              </w:rPr>
              <w:t>年进行一次</w:t>
            </w:r>
            <w:r>
              <w:rPr>
                <w:rFonts w:hint="default" w:ascii="Times New Roman" w:hAnsi="Times New Roman" w:cs="Times New Roman"/>
                <w:color w:val="auto"/>
                <w:sz w:val="21"/>
                <w:szCs w:val="21"/>
                <w:highlight w:val="none"/>
                <w:lang w:eastAsia="zh-CN"/>
              </w:rPr>
              <w:t>抽检；</w:t>
            </w:r>
          </w:p>
          <w:p>
            <w:pPr>
              <w:pStyle w:val="20"/>
              <w:numPr>
                <w:ilvl w:val="0"/>
                <w:numId w:val="5"/>
              </w:numPr>
              <w:tabs>
                <w:tab w:val="left" w:pos="0"/>
                <w:tab w:val="clear" w:pos="840"/>
              </w:tabs>
              <w:ind w:left="0"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新产品试制鉴定；</w:t>
            </w:r>
          </w:p>
          <w:p>
            <w:pPr>
              <w:pStyle w:val="20"/>
              <w:numPr>
                <w:ilvl w:val="0"/>
                <w:numId w:val="5"/>
              </w:numPr>
              <w:tabs>
                <w:tab w:val="left" w:pos="0"/>
                <w:tab w:val="clear" w:pos="840"/>
              </w:tabs>
              <w:ind w:left="0"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老产品转厂生产；</w:t>
            </w:r>
          </w:p>
          <w:p>
            <w:pPr>
              <w:pStyle w:val="20"/>
              <w:numPr>
                <w:ilvl w:val="0"/>
                <w:numId w:val="5"/>
              </w:numPr>
              <w:tabs>
                <w:tab w:val="left" w:pos="0"/>
                <w:tab w:val="clear" w:pos="840"/>
              </w:tabs>
              <w:ind w:left="0"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正式生产时，如原料、</w:t>
            </w:r>
            <w:r>
              <w:rPr>
                <w:rFonts w:hint="default" w:ascii="Times New Roman" w:hAnsi="Times New Roman" w:cs="Times New Roman"/>
                <w:color w:val="auto"/>
                <w:sz w:val="21"/>
                <w:szCs w:val="21"/>
                <w:highlight w:val="none"/>
                <w:lang w:eastAsia="zh-CN"/>
              </w:rPr>
              <w:t>设计、</w:t>
            </w:r>
            <w:r>
              <w:rPr>
                <w:rFonts w:hint="default" w:ascii="Times New Roman" w:hAnsi="Times New Roman" w:cs="Times New Roman"/>
                <w:color w:val="auto"/>
                <w:sz w:val="21"/>
                <w:szCs w:val="21"/>
                <w:highlight w:val="none"/>
              </w:rPr>
              <w:t>工艺</w:t>
            </w:r>
            <w:r>
              <w:rPr>
                <w:rFonts w:hint="default" w:ascii="Times New Roman" w:hAnsi="Times New Roman" w:cs="Times New Roman"/>
                <w:color w:val="auto"/>
                <w:sz w:val="21"/>
                <w:szCs w:val="21"/>
                <w:highlight w:val="none"/>
                <w:lang w:eastAsia="zh-CN"/>
              </w:rPr>
              <w:t>、设备地点</w:t>
            </w:r>
            <w:r>
              <w:rPr>
                <w:rFonts w:hint="default" w:ascii="Times New Roman" w:hAnsi="Times New Roman" w:cs="Times New Roman"/>
                <w:color w:val="auto"/>
                <w:sz w:val="21"/>
                <w:szCs w:val="21"/>
                <w:highlight w:val="none"/>
              </w:rPr>
              <w:t>有较大改变可能影响到产品的质量；</w:t>
            </w:r>
          </w:p>
          <w:p>
            <w:pPr>
              <w:pStyle w:val="20"/>
              <w:numPr>
                <w:ilvl w:val="0"/>
                <w:numId w:val="5"/>
              </w:numPr>
              <w:tabs>
                <w:tab w:val="left" w:pos="0"/>
                <w:tab w:val="clear" w:pos="840"/>
              </w:tabs>
              <w:ind w:left="0"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出厂检验的结果与上次型式检验有较大差异时；</w:t>
            </w:r>
          </w:p>
          <w:p>
            <w:pPr>
              <w:pStyle w:val="20"/>
              <w:numPr>
                <w:ilvl w:val="0"/>
                <w:numId w:val="5"/>
              </w:numPr>
              <w:tabs>
                <w:tab w:val="left" w:pos="0"/>
                <w:tab w:val="clear" w:pos="840"/>
              </w:tabs>
              <w:ind w:left="0"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产品停产 12 个月以上重新恢复生产时；</w:t>
            </w:r>
          </w:p>
          <w:p>
            <w:pPr>
              <w:pStyle w:val="20"/>
              <w:numPr>
                <w:ilvl w:val="0"/>
                <w:numId w:val="5"/>
              </w:numPr>
              <w:tabs>
                <w:tab w:val="left" w:pos="0"/>
                <w:tab w:val="clear" w:pos="840"/>
              </w:tabs>
              <w:ind w:left="0"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国家质量监督机构提出要求时。</w:t>
            </w:r>
          </w:p>
          <w:p>
            <w:pPr>
              <w:pStyle w:val="21"/>
              <w:numPr>
                <w:ilvl w:val="3"/>
                <w:numId w:val="0"/>
              </w:numPr>
              <w:bidi w:val="0"/>
              <w:ind w:leftChars="0"/>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highlight w:val="none"/>
                <w:lang w:val="en-US" w:eastAsia="zh-CN"/>
              </w:rPr>
              <w:t xml:space="preserve">7.2.2.3 </w:t>
            </w:r>
            <w:r>
              <w:rPr>
                <w:rFonts w:hint="default" w:ascii="Times New Roman" w:hAnsi="Times New Roman" w:eastAsia="宋体" w:cs="Times New Roman"/>
                <w:color w:val="auto"/>
                <w:sz w:val="21"/>
                <w:szCs w:val="21"/>
                <w:highlight w:val="none"/>
                <w:lang w:eastAsia="zh-CN"/>
              </w:rPr>
              <w:t>型式检验一般包括以下项目：</w:t>
            </w:r>
          </w:p>
          <w:p>
            <w:pPr>
              <w:pStyle w:val="20"/>
              <w:numPr>
                <w:ilvl w:val="0"/>
                <w:numId w:val="6"/>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所有出厂检验项目；</w:t>
            </w:r>
          </w:p>
          <w:p>
            <w:pPr>
              <w:pStyle w:val="20"/>
              <w:numPr>
                <w:ilvl w:val="0"/>
                <w:numId w:val="6"/>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全面安全检查</w:t>
            </w:r>
            <w:r>
              <w:rPr>
                <w:rFonts w:hint="default" w:ascii="Times New Roman" w:hAnsi="Times New Roman" w:cs="Times New Roman"/>
                <w:color w:val="auto"/>
                <w:sz w:val="21"/>
                <w:szCs w:val="21"/>
                <w:highlight w:val="none"/>
              </w:rPr>
              <w:t>；</w:t>
            </w:r>
          </w:p>
          <w:p>
            <w:pPr>
              <w:pStyle w:val="20"/>
              <w:numPr>
                <w:ilvl w:val="0"/>
                <w:numId w:val="6"/>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产品主要参数和设计参数的检验；</w:t>
            </w:r>
          </w:p>
          <w:p>
            <w:pPr>
              <w:pStyle w:val="20"/>
              <w:numPr>
                <w:ilvl w:val="0"/>
                <w:numId w:val="6"/>
              </w:numP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经双方协商的其他参数的检验。</w:t>
            </w: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de-DE" w:eastAsia="zh-CN" w:bidi="ar-SA"/>
              </w:rPr>
            </w:pPr>
            <w:r>
              <w:rPr>
                <w:rFonts w:hint="default" w:ascii="Times New Roman" w:hAnsi="Times New Roman" w:eastAsia="宋体" w:cs="Times New Roman"/>
                <w:kern w:val="2"/>
                <w:sz w:val="21"/>
                <w:szCs w:val="21"/>
                <w:highlight w:val="none"/>
                <w:lang w:val="de-DE" w:eastAsia="zh-CN" w:bidi="ar-SA"/>
              </w:rPr>
              <w:t>7.3.1 型式检验的内容为:</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de-DE" w:eastAsia="zh-CN" w:bidi="ar-SA"/>
              </w:rPr>
            </w:pPr>
            <w:r>
              <w:rPr>
                <w:rFonts w:hint="default" w:ascii="Times New Roman" w:hAnsi="Times New Roman" w:eastAsia="宋体" w:cs="Times New Roman"/>
                <w:kern w:val="2"/>
                <w:sz w:val="21"/>
                <w:szCs w:val="21"/>
                <w:highlight w:val="none"/>
                <w:lang w:val="de-DE" w:eastAsia="zh-CN" w:bidi="ar-SA"/>
              </w:rPr>
              <w:t>a)第4章和第5章及出厂检验的全部内容；</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de-DE" w:eastAsia="zh-CN" w:bidi="ar-SA"/>
              </w:rPr>
            </w:pPr>
            <w:r>
              <w:rPr>
                <w:rFonts w:hint="default" w:ascii="Times New Roman" w:hAnsi="Times New Roman" w:eastAsia="宋体" w:cs="Times New Roman"/>
                <w:kern w:val="2"/>
                <w:sz w:val="21"/>
                <w:szCs w:val="21"/>
                <w:highlight w:val="none"/>
                <w:lang w:val="de-DE" w:eastAsia="zh-CN" w:bidi="ar-SA"/>
              </w:rPr>
              <w:t>b)空炉升温时间的测量；</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de-DE" w:eastAsia="zh-CN" w:bidi="ar-SA"/>
              </w:rPr>
            </w:pPr>
            <w:r>
              <w:rPr>
                <w:rFonts w:hint="default" w:ascii="Times New Roman" w:hAnsi="Times New Roman" w:eastAsia="宋体" w:cs="Times New Roman"/>
                <w:kern w:val="2"/>
                <w:sz w:val="21"/>
                <w:szCs w:val="21"/>
                <w:highlight w:val="none"/>
                <w:lang w:val="de-DE" w:eastAsia="zh-CN" w:bidi="ar-SA"/>
              </w:rPr>
              <w:t>c)额定功率的测量；</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de-DE" w:eastAsia="zh-CN" w:bidi="ar-SA"/>
              </w:rPr>
            </w:pPr>
            <w:r>
              <w:rPr>
                <w:rFonts w:hint="default" w:ascii="Times New Roman" w:hAnsi="Times New Roman" w:eastAsia="宋体" w:cs="Times New Roman"/>
                <w:kern w:val="2"/>
                <w:sz w:val="21"/>
                <w:szCs w:val="21"/>
                <w:highlight w:val="none"/>
                <w:lang w:val="de-DE" w:eastAsia="zh-CN" w:bidi="ar-SA"/>
              </w:rPr>
              <w:t>d)最高工作温度的测量；</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de-DE" w:eastAsia="zh-CN" w:bidi="ar-SA"/>
              </w:rPr>
            </w:pPr>
            <w:r>
              <w:rPr>
                <w:rFonts w:hint="default" w:ascii="Times New Roman" w:hAnsi="Times New Roman" w:eastAsia="宋体" w:cs="Times New Roman"/>
                <w:kern w:val="2"/>
                <w:sz w:val="21"/>
                <w:szCs w:val="21"/>
                <w:highlight w:val="none"/>
                <w:lang w:val="de-DE" w:eastAsia="zh-CN" w:bidi="ar-SA"/>
              </w:rPr>
              <w:t>e)加热试验；</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de-DE" w:eastAsia="zh-CN" w:bidi="ar-SA"/>
              </w:rPr>
            </w:pPr>
            <w:r>
              <w:rPr>
                <w:rFonts w:hint="default" w:ascii="Times New Roman" w:hAnsi="Times New Roman" w:eastAsia="宋体" w:cs="Times New Roman"/>
                <w:kern w:val="2"/>
                <w:sz w:val="21"/>
                <w:szCs w:val="21"/>
                <w:highlight w:val="none"/>
                <w:lang w:val="de-DE" w:eastAsia="zh-CN" w:bidi="ar-SA"/>
              </w:rPr>
              <w:t>f)热态试验后的检查。</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de-DE" w:eastAsia="zh-CN" w:bidi="ar-SA"/>
              </w:rPr>
            </w:pPr>
            <w:r>
              <w:rPr>
                <w:rFonts w:hint="default" w:ascii="Times New Roman" w:hAnsi="Times New Roman" w:eastAsia="宋体" w:cs="Times New Roman"/>
                <w:kern w:val="2"/>
                <w:sz w:val="21"/>
                <w:szCs w:val="21"/>
                <w:highlight w:val="none"/>
                <w:lang w:val="de-DE" w:eastAsia="zh-CN" w:bidi="ar-SA"/>
              </w:rPr>
              <w:t>7.3.2 属于下列情况之一时，应进行型式检验:</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de-DE" w:eastAsia="zh-CN" w:bidi="ar-SA"/>
              </w:rPr>
            </w:pPr>
            <w:r>
              <w:rPr>
                <w:rFonts w:hint="default" w:ascii="Times New Roman" w:hAnsi="Times New Roman" w:eastAsia="宋体" w:cs="Times New Roman"/>
                <w:kern w:val="2"/>
                <w:sz w:val="21"/>
                <w:szCs w:val="21"/>
                <w:highlight w:val="none"/>
                <w:lang w:val="de-DE" w:eastAsia="zh-CN" w:bidi="ar-SA"/>
              </w:rPr>
              <w:t>a)试制的新产品；</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de-DE" w:eastAsia="zh-CN" w:bidi="ar-SA"/>
              </w:rPr>
            </w:pPr>
            <w:r>
              <w:rPr>
                <w:rFonts w:hint="default" w:ascii="Times New Roman" w:hAnsi="Times New Roman" w:eastAsia="宋体" w:cs="Times New Roman"/>
                <w:kern w:val="2"/>
                <w:sz w:val="21"/>
                <w:szCs w:val="21"/>
                <w:highlight w:val="none"/>
                <w:lang w:val="de-DE" w:eastAsia="zh-CN" w:bidi="ar-SA"/>
              </w:rPr>
              <w:t>b)设备在设计上、工艺上或材料上有重大变更时；</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de-DE" w:eastAsia="zh-CN" w:bidi="ar-SA"/>
              </w:rPr>
            </w:pPr>
            <w:r>
              <w:rPr>
                <w:rFonts w:hint="default" w:ascii="Times New Roman" w:hAnsi="Times New Roman" w:eastAsia="宋体" w:cs="Times New Roman"/>
                <w:kern w:val="2"/>
                <w:sz w:val="21"/>
                <w:szCs w:val="21"/>
                <w:highlight w:val="none"/>
                <w:lang w:val="de-DE" w:eastAsia="zh-CN" w:bidi="ar-SA"/>
              </w:rPr>
              <w:t>c)同类产品鉴定时；</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de-DE" w:eastAsia="zh-CN" w:bidi="ar-SA"/>
              </w:rPr>
            </w:pPr>
            <w:r>
              <w:rPr>
                <w:rFonts w:hint="default" w:ascii="Times New Roman" w:hAnsi="Times New Roman" w:eastAsia="宋体" w:cs="Times New Roman"/>
                <w:kern w:val="2"/>
                <w:sz w:val="21"/>
                <w:szCs w:val="21"/>
                <w:highlight w:val="none"/>
                <w:lang w:val="de-DE" w:eastAsia="zh-CN" w:bidi="ar-SA"/>
              </w:rPr>
              <w:t>d)成批产品的定期检查，每两年一次，每次抽查10%(不少于两台)，如有一项不合格，应加倍抽取产品进行复检，仍有不合格，应逐台检验。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7.3 组批规则和抽样方案</w:t>
            </w:r>
          </w:p>
        </w:tc>
        <w:tc>
          <w:tcPr>
            <w:tcW w:w="2060" w:type="pct"/>
            <w:vAlign w:val="center"/>
          </w:tcPr>
          <w:p>
            <w:pPr>
              <w:pStyle w:val="18"/>
              <w:numPr>
                <w:ilvl w:val="2"/>
                <w:numId w:val="0"/>
              </w:numPr>
              <w:ind w:left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 xml:space="preserve">7.3.1 </w:t>
            </w:r>
            <w:r>
              <w:rPr>
                <w:rFonts w:hint="default" w:ascii="Times New Roman" w:hAnsi="Times New Roman" w:cs="Times New Roman"/>
                <w:color w:val="auto"/>
                <w:sz w:val="21"/>
                <w:szCs w:val="21"/>
                <w:highlight w:val="none"/>
                <w:lang w:eastAsia="zh-CN"/>
              </w:rPr>
              <w:t>产品应成批提交验收，每批应由同一种类（工业炉或实验炉）、同一型号的产品组成</w:t>
            </w:r>
            <w:r>
              <w:rPr>
                <w:rFonts w:hint="default" w:ascii="Times New Roman" w:hAnsi="Times New Roman" w:cs="Times New Roman"/>
                <w:color w:val="auto"/>
                <w:sz w:val="21"/>
                <w:szCs w:val="21"/>
                <w:highlight w:val="none"/>
              </w:rPr>
              <w:t>。</w:t>
            </w:r>
          </w:p>
          <w:p>
            <w:pPr>
              <w:pStyle w:val="18"/>
              <w:numPr>
                <w:ilvl w:val="2"/>
                <w:numId w:val="0"/>
              </w:numPr>
              <w:ind w:left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 xml:space="preserve">7.3.2 </w:t>
            </w:r>
            <w:r>
              <w:rPr>
                <w:rFonts w:hint="default" w:ascii="Times New Roman" w:hAnsi="Times New Roman" w:cs="Times New Roman"/>
                <w:color w:val="auto"/>
                <w:sz w:val="21"/>
                <w:szCs w:val="21"/>
                <w:highlight w:val="none"/>
              </w:rPr>
              <w:t>每台产品</w:t>
            </w:r>
            <w:r>
              <w:rPr>
                <w:rFonts w:hint="default" w:ascii="Times New Roman" w:hAnsi="Times New Roman" w:cs="Times New Roman"/>
                <w:color w:val="auto"/>
                <w:sz w:val="21"/>
                <w:szCs w:val="21"/>
                <w:highlight w:val="none"/>
                <w:lang w:eastAsia="zh-CN"/>
              </w:rPr>
              <w:t>应进行出厂检验。</w:t>
            </w:r>
          </w:p>
          <w:p>
            <w:pPr>
              <w:pStyle w:val="18"/>
              <w:numPr>
                <w:ilvl w:val="2"/>
                <w:numId w:val="0"/>
              </w:numPr>
              <w:ind w:left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 xml:space="preserve">7.3.3 </w:t>
            </w:r>
            <w:r>
              <w:rPr>
                <w:rFonts w:hint="default" w:ascii="Times New Roman" w:hAnsi="Times New Roman" w:cs="Times New Roman"/>
                <w:color w:val="auto"/>
                <w:sz w:val="21"/>
                <w:szCs w:val="21"/>
                <w:highlight w:val="none"/>
              </w:rPr>
              <w:t>型式检验应从出厂检验合格产品中随机抽取，抽取数量应满足</w:t>
            </w:r>
            <w:r>
              <w:rPr>
                <w:rFonts w:hint="default" w:ascii="Times New Roman" w:hAnsi="Times New Roman" w:cs="Times New Roman"/>
                <w:color w:val="auto"/>
                <w:sz w:val="21"/>
                <w:szCs w:val="21"/>
                <w:highlight w:val="none"/>
                <w:lang w:eastAsia="zh-CN"/>
              </w:rPr>
              <w:t>表</w:t>
            </w:r>
            <w:r>
              <w:rPr>
                <w:rFonts w:hint="default"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rPr>
              <w:t>要求。</w:t>
            </w:r>
          </w:p>
          <w:p>
            <w:pPr>
              <w:pStyle w:val="18"/>
              <w:numPr>
                <w:ilvl w:val="2"/>
                <w:numId w:val="0"/>
              </w:numPr>
              <w:ind w:leftChars="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黑体" w:cs="Times New Roman"/>
                <w:color w:val="auto"/>
                <w:sz w:val="21"/>
                <w:szCs w:val="21"/>
                <w:highlight w:val="none"/>
                <w:lang w:eastAsia="zh-CN"/>
              </w:rPr>
              <w:t>表</w:t>
            </w:r>
            <w:r>
              <w:rPr>
                <w:rFonts w:hint="default" w:ascii="Times New Roman" w:hAnsi="Times New Roman" w:eastAsia="黑体" w:cs="Times New Roman"/>
                <w:color w:val="auto"/>
                <w:sz w:val="21"/>
                <w:szCs w:val="21"/>
                <w:highlight w:val="none"/>
                <w:lang w:val="en-US" w:eastAsia="zh-CN"/>
              </w:rPr>
              <w:t xml:space="preserve">2 </w:t>
            </w:r>
            <w:r>
              <w:rPr>
                <w:rFonts w:hint="default" w:ascii="Times New Roman" w:hAnsi="Times New Roman" w:eastAsia="黑体" w:cs="Times New Roman"/>
                <w:color w:val="auto"/>
                <w:sz w:val="21"/>
                <w:szCs w:val="21"/>
                <w:highlight w:val="none"/>
                <w:lang w:eastAsia="zh-CN"/>
              </w:rPr>
              <w:t>不同年产量产品的抽检数量规定</w:t>
            </w:r>
          </w:p>
          <w:tbl>
            <w:tblPr>
              <w:tblStyle w:val="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3"/>
              <w:gridCol w:w="1093"/>
              <w:gridCol w:w="10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32" w:type="pct"/>
                  <w:gridSpan w:val="2"/>
                  <w:vAlign w:val="center"/>
                </w:tcPr>
                <w:p>
                  <w:pPr>
                    <w:pStyle w:val="18"/>
                    <w:numPr>
                      <w:ilvl w:val="2"/>
                      <w:numId w:val="0"/>
                    </w:numPr>
                    <w:jc w:val="center"/>
                    <w:rPr>
                      <w:rFonts w:hint="default" w:ascii="Times New Roman" w:hAnsi="Times New Roman" w:eastAsia="宋体"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年产量 / 台</w:t>
                  </w:r>
                </w:p>
              </w:tc>
              <w:tc>
                <w:tcPr>
                  <w:tcW w:w="1667" w:type="pct"/>
                  <w:vMerge w:val="restart"/>
                  <w:vAlign w:val="center"/>
                </w:tcPr>
                <w:p>
                  <w:pPr>
                    <w:pStyle w:val="18"/>
                    <w:numPr>
                      <w:ilvl w:val="2"/>
                      <w:numId w:val="0"/>
                    </w:numPr>
                    <w:jc w:val="center"/>
                    <w:rPr>
                      <w:rFonts w:hint="default" w:ascii="Times New Roman" w:hAnsi="Times New Roman" w:cs="Times New Roman"/>
                      <w:color w:val="auto"/>
                      <w:kern w:val="0"/>
                      <w:sz w:val="21"/>
                      <w:szCs w:val="21"/>
                      <w:highlight w:val="none"/>
                      <w:vertAlign w:val="baseline"/>
                      <w:lang w:eastAsia="zh-CN"/>
                    </w:rPr>
                  </w:pPr>
                  <w:r>
                    <w:rPr>
                      <w:rFonts w:hint="default" w:ascii="Times New Roman" w:hAnsi="Times New Roman" w:cs="Times New Roman"/>
                      <w:color w:val="auto"/>
                      <w:kern w:val="0"/>
                      <w:sz w:val="21"/>
                      <w:szCs w:val="21"/>
                      <w:highlight w:val="none"/>
                      <w:vertAlign w:val="baseline"/>
                      <w:lang w:eastAsia="zh-CN"/>
                    </w:rPr>
                    <w:t>抽检数量</w:t>
                  </w:r>
                </w:p>
                <w:p>
                  <w:pPr>
                    <w:pStyle w:val="18"/>
                    <w:numPr>
                      <w:ilvl w:val="2"/>
                      <w:numId w:val="0"/>
                    </w:numPr>
                    <w:jc w:val="center"/>
                    <w:rPr>
                      <w:rFonts w:hint="default" w:ascii="Times New Roman" w:hAnsi="Times New Roman" w:eastAsia="宋体" w:cs="Times New Roman"/>
                      <w:color w:val="auto"/>
                      <w:kern w:val="0"/>
                      <w:sz w:val="21"/>
                      <w:szCs w:val="21"/>
                      <w:highlight w:val="none"/>
                      <w:vertAlign w:val="baseline"/>
                      <w:lang w:val="en-US" w:eastAsia="zh-CN"/>
                    </w:rPr>
                  </w:pPr>
                  <w:r>
                    <w:rPr>
                      <w:rFonts w:hint="default" w:ascii="Times New Roman" w:hAnsi="Times New Roman" w:cs="Times New Roman"/>
                      <w:i/>
                      <w:iCs/>
                      <w:color w:val="auto"/>
                      <w:kern w:val="0"/>
                      <w:sz w:val="21"/>
                      <w:szCs w:val="21"/>
                      <w:highlight w:val="none"/>
                      <w:vertAlign w:val="baseline"/>
                      <w:lang w:val="en-US" w:eastAsia="zh-CN"/>
                    </w:rPr>
                    <w:t>n</w:t>
                  </w:r>
                  <w:r>
                    <w:rPr>
                      <w:rFonts w:hint="default" w:ascii="Times New Roman" w:hAnsi="Times New Roman" w:cs="Times New Roman"/>
                      <w:color w:val="auto"/>
                      <w:kern w:val="0"/>
                      <w:sz w:val="21"/>
                      <w:szCs w:val="21"/>
                      <w:highlight w:val="none"/>
                      <w:vertAlign w:val="baseline"/>
                      <w:lang w:val="en-US" w:eastAsia="zh-CN"/>
                    </w:rPr>
                    <w:t xml:space="preserve"> / 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vAlign w:val="center"/>
                </w:tcPr>
                <w:p>
                  <w:pPr>
                    <w:pStyle w:val="18"/>
                    <w:numPr>
                      <w:ilvl w:val="2"/>
                      <w:numId w:val="0"/>
                    </w:numPr>
                    <w:jc w:val="center"/>
                    <w:rPr>
                      <w:rFonts w:hint="default" w:ascii="Times New Roman" w:hAnsi="Times New Roman" w:eastAsia="宋体" w:cs="Times New Roman"/>
                      <w:color w:val="auto"/>
                      <w:kern w:val="0"/>
                      <w:sz w:val="21"/>
                      <w:szCs w:val="21"/>
                      <w:highlight w:val="none"/>
                      <w:vertAlign w:val="baseline"/>
                      <w:lang w:eastAsia="zh-CN"/>
                    </w:rPr>
                  </w:pPr>
                  <w:r>
                    <w:rPr>
                      <w:rFonts w:hint="default" w:ascii="Times New Roman" w:hAnsi="Times New Roman" w:cs="Times New Roman"/>
                      <w:color w:val="auto"/>
                      <w:kern w:val="0"/>
                      <w:sz w:val="21"/>
                      <w:szCs w:val="21"/>
                      <w:highlight w:val="none"/>
                      <w:vertAlign w:val="baseline"/>
                      <w:lang w:eastAsia="zh-CN"/>
                    </w:rPr>
                    <w:t>工业炉</w:t>
                  </w:r>
                </w:p>
              </w:tc>
              <w:tc>
                <w:tcPr>
                  <w:tcW w:w="1666" w:type="pct"/>
                  <w:vAlign w:val="center"/>
                </w:tcPr>
                <w:p>
                  <w:pPr>
                    <w:pStyle w:val="18"/>
                    <w:numPr>
                      <w:ilvl w:val="2"/>
                      <w:numId w:val="0"/>
                    </w:numPr>
                    <w:jc w:val="center"/>
                    <w:rPr>
                      <w:rFonts w:hint="default" w:ascii="Times New Roman" w:hAnsi="Times New Roman" w:eastAsia="宋体" w:cs="Times New Roman"/>
                      <w:color w:val="auto"/>
                      <w:kern w:val="0"/>
                      <w:sz w:val="21"/>
                      <w:szCs w:val="21"/>
                      <w:highlight w:val="none"/>
                      <w:vertAlign w:val="baseline"/>
                      <w:lang w:eastAsia="zh-CN"/>
                    </w:rPr>
                  </w:pPr>
                  <w:r>
                    <w:rPr>
                      <w:rFonts w:hint="default" w:ascii="Times New Roman" w:hAnsi="Times New Roman" w:cs="Times New Roman"/>
                      <w:color w:val="auto"/>
                      <w:kern w:val="0"/>
                      <w:sz w:val="21"/>
                      <w:szCs w:val="21"/>
                      <w:highlight w:val="none"/>
                      <w:vertAlign w:val="baseline"/>
                      <w:lang w:eastAsia="zh-CN"/>
                    </w:rPr>
                    <w:t>实验炉</w:t>
                  </w:r>
                </w:p>
              </w:tc>
              <w:tc>
                <w:tcPr>
                  <w:tcW w:w="1667" w:type="pct"/>
                  <w:vMerge w:val="continue"/>
                  <w:vAlign w:val="center"/>
                </w:tcPr>
                <w:p>
                  <w:pPr>
                    <w:pStyle w:val="18"/>
                    <w:numPr>
                      <w:ilvl w:val="2"/>
                      <w:numId w:val="0"/>
                    </w:numPr>
                    <w:jc w:val="center"/>
                    <w:rPr>
                      <w:rFonts w:hint="default" w:ascii="Times New Roman" w:hAnsi="Times New Roman" w:eastAsia="宋体" w:cs="Times New Roman"/>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vAlign w:val="center"/>
                </w:tcPr>
                <w:p>
                  <w:pPr>
                    <w:pStyle w:val="18"/>
                    <w:numPr>
                      <w:ilvl w:val="2"/>
                      <w:numId w:val="0"/>
                    </w:numPr>
                    <w:jc w:val="center"/>
                    <w:rPr>
                      <w:rFonts w:hint="default" w:ascii="Times New Roman" w:hAnsi="Times New Roman" w:eastAsia="宋体"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eastAsia="zh-CN"/>
                    </w:rPr>
                    <w:t>≤</w:t>
                  </w:r>
                  <w:r>
                    <w:rPr>
                      <w:rFonts w:hint="default" w:ascii="Times New Roman" w:hAnsi="Times New Roman" w:cs="Times New Roman"/>
                      <w:color w:val="auto"/>
                      <w:kern w:val="0"/>
                      <w:sz w:val="21"/>
                      <w:szCs w:val="21"/>
                      <w:highlight w:val="none"/>
                      <w:vertAlign w:val="baseline"/>
                      <w:lang w:val="en-US" w:eastAsia="zh-CN"/>
                    </w:rPr>
                    <w:t xml:space="preserve"> 20</w:t>
                  </w:r>
                </w:p>
              </w:tc>
              <w:tc>
                <w:tcPr>
                  <w:tcW w:w="1666" w:type="pct"/>
                  <w:vAlign w:val="center"/>
                </w:tcPr>
                <w:p>
                  <w:pPr>
                    <w:pStyle w:val="18"/>
                    <w:numPr>
                      <w:ilvl w:val="2"/>
                      <w:numId w:val="0"/>
                    </w:numPr>
                    <w:jc w:val="center"/>
                    <w:rPr>
                      <w:rFonts w:hint="default" w:ascii="Times New Roman" w:hAnsi="Times New Roman" w:cs="Times New Roman"/>
                      <w:color w:val="auto"/>
                      <w:kern w:val="0"/>
                      <w:sz w:val="21"/>
                      <w:szCs w:val="21"/>
                      <w:highlight w:val="none"/>
                      <w:vertAlign w:val="baseline"/>
                    </w:rPr>
                  </w:pPr>
                  <w:r>
                    <w:rPr>
                      <w:rFonts w:hint="default" w:ascii="Times New Roman" w:hAnsi="Times New Roman" w:cs="Times New Roman"/>
                      <w:color w:val="auto"/>
                      <w:kern w:val="0"/>
                      <w:sz w:val="21"/>
                      <w:szCs w:val="21"/>
                      <w:highlight w:val="none"/>
                      <w:vertAlign w:val="baseline"/>
                      <w:lang w:eastAsia="zh-CN"/>
                    </w:rPr>
                    <w:t>≤</w:t>
                  </w:r>
                  <w:r>
                    <w:rPr>
                      <w:rFonts w:hint="default" w:ascii="Times New Roman" w:hAnsi="Times New Roman" w:cs="Times New Roman"/>
                      <w:color w:val="auto"/>
                      <w:kern w:val="0"/>
                      <w:sz w:val="21"/>
                      <w:szCs w:val="21"/>
                      <w:highlight w:val="none"/>
                      <w:vertAlign w:val="baseline"/>
                      <w:lang w:val="en-US" w:eastAsia="zh-CN"/>
                    </w:rPr>
                    <w:t xml:space="preserve"> 40</w:t>
                  </w:r>
                </w:p>
              </w:tc>
              <w:tc>
                <w:tcPr>
                  <w:tcW w:w="1667" w:type="pct"/>
                  <w:vAlign w:val="center"/>
                </w:tcPr>
                <w:p>
                  <w:pPr>
                    <w:pStyle w:val="18"/>
                    <w:numPr>
                      <w:ilvl w:val="2"/>
                      <w:numId w:val="0"/>
                    </w:numPr>
                    <w:jc w:val="center"/>
                    <w:rPr>
                      <w:rFonts w:hint="default" w:ascii="Times New Roman" w:hAnsi="Times New Roman" w:eastAsia="宋体"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vAlign w:val="center"/>
                </w:tcPr>
                <w:p>
                  <w:pPr>
                    <w:pStyle w:val="18"/>
                    <w:numPr>
                      <w:ilvl w:val="2"/>
                      <w:numId w:val="0"/>
                    </w:numPr>
                    <w:jc w:val="center"/>
                    <w:rPr>
                      <w:rFonts w:hint="default" w:ascii="Times New Roman" w:hAnsi="Times New Roman" w:eastAsia="宋体"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 xml:space="preserve">21 </w:t>
                  </w:r>
                  <w:r>
                    <w:rPr>
                      <w:rFonts w:hint="default" w:ascii="Times New Roman" w:hAnsi="Times New Roman" w:eastAsia="仿宋" w:cs="Times New Roman"/>
                      <w:color w:val="auto"/>
                      <w:kern w:val="0"/>
                      <w:sz w:val="21"/>
                      <w:szCs w:val="21"/>
                      <w:highlight w:val="none"/>
                      <w:vertAlign w:val="baseline"/>
                      <w:lang w:val="en-US" w:eastAsia="zh-CN"/>
                    </w:rPr>
                    <w:t xml:space="preserve">～ </w:t>
                  </w:r>
                  <w:r>
                    <w:rPr>
                      <w:rFonts w:hint="default" w:ascii="Times New Roman" w:hAnsi="Times New Roman" w:cs="Times New Roman"/>
                      <w:color w:val="auto"/>
                      <w:kern w:val="0"/>
                      <w:sz w:val="21"/>
                      <w:szCs w:val="21"/>
                      <w:highlight w:val="none"/>
                      <w:vertAlign w:val="baseline"/>
                      <w:lang w:val="en-US" w:eastAsia="zh-CN"/>
                    </w:rPr>
                    <w:t>50</w:t>
                  </w:r>
                </w:p>
              </w:tc>
              <w:tc>
                <w:tcPr>
                  <w:tcW w:w="1666" w:type="pct"/>
                  <w:vAlign w:val="center"/>
                </w:tcPr>
                <w:p>
                  <w:pPr>
                    <w:pStyle w:val="18"/>
                    <w:numPr>
                      <w:ilvl w:val="2"/>
                      <w:numId w:val="0"/>
                    </w:numPr>
                    <w:jc w:val="center"/>
                    <w:rPr>
                      <w:rFonts w:hint="default" w:ascii="Times New Roman" w:hAnsi="Times New Roman" w:cs="Times New Roman"/>
                      <w:color w:val="auto"/>
                      <w:kern w:val="0"/>
                      <w:sz w:val="21"/>
                      <w:szCs w:val="21"/>
                      <w:highlight w:val="none"/>
                      <w:vertAlign w:val="baseline"/>
                    </w:rPr>
                  </w:pPr>
                  <w:r>
                    <w:rPr>
                      <w:rFonts w:hint="default" w:ascii="Times New Roman" w:hAnsi="Times New Roman" w:cs="Times New Roman"/>
                      <w:color w:val="auto"/>
                      <w:kern w:val="0"/>
                      <w:sz w:val="21"/>
                      <w:szCs w:val="21"/>
                      <w:highlight w:val="none"/>
                      <w:vertAlign w:val="baseline"/>
                      <w:lang w:val="en-US" w:eastAsia="zh-CN"/>
                    </w:rPr>
                    <w:t xml:space="preserve">41 </w:t>
                  </w:r>
                  <w:r>
                    <w:rPr>
                      <w:rFonts w:hint="default" w:ascii="Times New Roman" w:hAnsi="Times New Roman" w:eastAsia="仿宋" w:cs="Times New Roman"/>
                      <w:color w:val="auto"/>
                      <w:kern w:val="0"/>
                      <w:sz w:val="21"/>
                      <w:szCs w:val="21"/>
                      <w:highlight w:val="none"/>
                      <w:vertAlign w:val="baseline"/>
                      <w:lang w:val="en-US" w:eastAsia="zh-CN"/>
                    </w:rPr>
                    <w:t xml:space="preserve">～ </w:t>
                  </w:r>
                  <w:r>
                    <w:rPr>
                      <w:rFonts w:hint="default" w:ascii="Times New Roman" w:hAnsi="Times New Roman" w:cs="Times New Roman"/>
                      <w:color w:val="auto"/>
                      <w:kern w:val="0"/>
                      <w:sz w:val="21"/>
                      <w:szCs w:val="21"/>
                      <w:highlight w:val="none"/>
                      <w:vertAlign w:val="baseline"/>
                      <w:lang w:val="en-US" w:eastAsia="zh-CN"/>
                    </w:rPr>
                    <w:t>100</w:t>
                  </w:r>
                </w:p>
              </w:tc>
              <w:tc>
                <w:tcPr>
                  <w:tcW w:w="1667" w:type="pct"/>
                  <w:vAlign w:val="center"/>
                </w:tcPr>
                <w:p>
                  <w:pPr>
                    <w:pStyle w:val="18"/>
                    <w:numPr>
                      <w:ilvl w:val="2"/>
                      <w:numId w:val="0"/>
                    </w:numPr>
                    <w:jc w:val="center"/>
                    <w:rPr>
                      <w:rFonts w:hint="default" w:ascii="Times New Roman" w:hAnsi="Times New Roman" w:eastAsia="宋体"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vAlign w:val="center"/>
                </w:tcPr>
                <w:p>
                  <w:pPr>
                    <w:pStyle w:val="18"/>
                    <w:numPr>
                      <w:ilvl w:val="2"/>
                      <w:numId w:val="0"/>
                    </w:numPr>
                    <w:jc w:val="center"/>
                    <w:rPr>
                      <w:rFonts w:hint="default" w:ascii="Times New Roman" w:hAnsi="Times New Roman" w:eastAsia="宋体"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eastAsia="zh-CN"/>
                    </w:rPr>
                    <w:t>＞</w:t>
                  </w:r>
                  <w:r>
                    <w:rPr>
                      <w:rFonts w:hint="default" w:ascii="Times New Roman" w:hAnsi="Times New Roman" w:cs="Times New Roman"/>
                      <w:color w:val="auto"/>
                      <w:kern w:val="0"/>
                      <w:sz w:val="21"/>
                      <w:szCs w:val="21"/>
                      <w:highlight w:val="none"/>
                      <w:vertAlign w:val="baseline"/>
                      <w:lang w:val="en-US" w:eastAsia="zh-CN"/>
                    </w:rPr>
                    <w:t xml:space="preserve"> 50</w:t>
                  </w:r>
                </w:p>
              </w:tc>
              <w:tc>
                <w:tcPr>
                  <w:tcW w:w="1666" w:type="pct"/>
                  <w:vAlign w:val="center"/>
                </w:tcPr>
                <w:p>
                  <w:pPr>
                    <w:pStyle w:val="18"/>
                    <w:numPr>
                      <w:ilvl w:val="2"/>
                      <w:numId w:val="0"/>
                    </w:numPr>
                    <w:jc w:val="center"/>
                    <w:rPr>
                      <w:rFonts w:hint="default" w:ascii="Times New Roman" w:hAnsi="Times New Roman" w:cs="Times New Roman"/>
                      <w:color w:val="auto"/>
                      <w:kern w:val="0"/>
                      <w:sz w:val="21"/>
                      <w:szCs w:val="21"/>
                      <w:highlight w:val="none"/>
                      <w:vertAlign w:val="baseline"/>
                    </w:rPr>
                  </w:pPr>
                  <w:r>
                    <w:rPr>
                      <w:rFonts w:hint="default" w:ascii="Times New Roman" w:hAnsi="Times New Roman" w:cs="Times New Roman"/>
                      <w:color w:val="auto"/>
                      <w:kern w:val="0"/>
                      <w:sz w:val="21"/>
                      <w:szCs w:val="21"/>
                      <w:highlight w:val="none"/>
                      <w:vertAlign w:val="baseline"/>
                      <w:lang w:eastAsia="zh-CN"/>
                    </w:rPr>
                    <w:t>＞</w:t>
                  </w:r>
                  <w:r>
                    <w:rPr>
                      <w:rFonts w:hint="default" w:ascii="Times New Roman" w:hAnsi="Times New Roman" w:cs="Times New Roman"/>
                      <w:color w:val="auto"/>
                      <w:kern w:val="0"/>
                      <w:sz w:val="21"/>
                      <w:szCs w:val="21"/>
                      <w:highlight w:val="none"/>
                      <w:vertAlign w:val="baseline"/>
                      <w:lang w:val="en-US" w:eastAsia="zh-CN"/>
                    </w:rPr>
                    <w:t xml:space="preserve"> 100</w:t>
                  </w:r>
                </w:p>
              </w:tc>
              <w:tc>
                <w:tcPr>
                  <w:tcW w:w="1667" w:type="pct"/>
                  <w:vAlign w:val="center"/>
                </w:tcPr>
                <w:p>
                  <w:pPr>
                    <w:pStyle w:val="18"/>
                    <w:numPr>
                      <w:ilvl w:val="2"/>
                      <w:numId w:val="0"/>
                    </w:numPr>
                    <w:jc w:val="center"/>
                    <w:rPr>
                      <w:rFonts w:hint="default" w:ascii="Times New Roman" w:hAnsi="Times New Roman" w:eastAsia="宋体"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3</w:t>
                  </w:r>
                </w:p>
              </w:tc>
            </w:tr>
          </w:tbl>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de-DE"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7.4 判定规则</w:t>
            </w:r>
          </w:p>
        </w:tc>
        <w:tc>
          <w:tcPr>
            <w:tcW w:w="2060" w:type="pct"/>
            <w:vAlign w:val="center"/>
          </w:tcPr>
          <w:p>
            <w:pPr>
              <w:pStyle w:val="21"/>
              <w:numPr>
                <w:ilvl w:val="3"/>
                <w:numId w:val="0"/>
              </w:numPr>
              <w:bidi w:val="0"/>
              <w:ind w:leftChars="0"/>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val="en-US" w:eastAsia="zh-CN"/>
              </w:rPr>
              <w:t xml:space="preserve">7.4.1 </w:t>
            </w:r>
            <w:r>
              <w:rPr>
                <w:rFonts w:hint="default" w:ascii="Times New Roman" w:hAnsi="Times New Roman" w:eastAsia="宋体" w:cs="Times New Roman"/>
                <w:color w:val="auto"/>
                <w:highlight w:val="none"/>
              </w:rPr>
              <w:t>每台产品出厂需经工厂检验部门检验，</w:t>
            </w:r>
            <w:r>
              <w:rPr>
                <w:rFonts w:hint="default" w:ascii="Times New Roman" w:hAnsi="Times New Roman" w:eastAsia="宋体" w:cs="Times New Roman"/>
                <w:color w:val="auto"/>
                <w:sz w:val="21"/>
                <w:szCs w:val="21"/>
                <w:highlight w:val="none"/>
                <w:lang w:val="en-US" w:eastAsia="zh-CN" w:bidi="ar-SA"/>
              </w:rPr>
              <w:t>全部符合本文件要求时，判为合格。当出厂检验中出现任何一项不合格，可对不合格项进行复检，若仍不合格，则该台产品为不合格。该台产品消除缺陷并按上述要求检验合格后，可重新交付</w:t>
            </w:r>
            <w:r>
              <w:rPr>
                <w:rFonts w:hint="default" w:ascii="Times New Roman" w:hAnsi="Times New Roman" w:eastAsia="宋体" w:cs="Times New Roman"/>
                <w:color w:val="auto"/>
                <w:highlight w:val="none"/>
                <w:lang w:eastAsia="zh-CN"/>
              </w:rPr>
              <w:t>。</w:t>
            </w:r>
          </w:p>
          <w:p>
            <w:pPr>
              <w:pStyle w:val="21"/>
              <w:numPr>
                <w:ilvl w:val="3"/>
                <w:numId w:val="0"/>
              </w:numPr>
              <w:bidi w:val="0"/>
              <w:ind w:leftChars="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7.4.2 当型式检验结果全部符合本文件要求时，判为合格。当型式检验中出现任何一项不合格，应加倍重新抽取样品对不合格项进行复检，若仍不合格，则该批产品为不合格。该批产品消除缺陷并按上述要求检验合格后，才能交付并继续投产。</w:t>
            </w:r>
          </w:p>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de-DE"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8　标志、包装、运输、贮存</w:t>
            </w:r>
          </w:p>
        </w:tc>
        <w:tc>
          <w:tcPr>
            <w:tcW w:w="2060"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en-US" w:eastAsia="zh-CN" w:bidi="ar-SA"/>
              </w:rPr>
            </w:pPr>
          </w:p>
        </w:tc>
        <w:tc>
          <w:tcPr>
            <w:tcW w:w="2061" w:type="pct"/>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kern w:val="2"/>
                <w:sz w:val="21"/>
                <w:szCs w:val="21"/>
                <w:highlight w:val="none"/>
                <w:lang w:val="de-DE"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8.1　标志</w:t>
            </w:r>
          </w:p>
        </w:tc>
        <w:tc>
          <w:tcPr>
            <w:tcW w:w="2060" w:type="pct"/>
            <w:vAlign w:val="center"/>
          </w:tcPr>
          <w:p>
            <w:pPr>
              <w:pStyle w:val="14"/>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产品应设置铭牌并至少含有以下内容：</w:t>
            </w:r>
          </w:p>
          <w:p>
            <w:pPr>
              <w:pStyle w:val="20"/>
              <w:numPr>
                <w:ilvl w:val="0"/>
                <w:numId w:val="7"/>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产品型号和名称；</w:t>
            </w:r>
          </w:p>
          <w:p>
            <w:pPr>
              <w:pStyle w:val="20"/>
              <w:numPr>
                <w:ilvl w:val="0"/>
                <w:numId w:val="7"/>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电源电压，单位为V；</w:t>
            </w:r>
          </w:p>
          <w:p>
            <w:pPr>
              <w:pStyle w:val="20"/>
              <w:numPr>
                <w:ilvl w:val="0"/>
                <w:numId w:val="7"/>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电源频率，单位为Hz；</w:t>
            </w:r>
          </w:p>
          <w:p>
            <w:pPr>
              <w:pStyle w:val="20"/>
              <w:numPr>
                <w:ilvl w:val="0"/>
                <w:numId w:val="7"/>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相数；</w:t>
            </w:r>
          </w:p>
          <w:p>
            <w:pPr>
              <w:pStyle w:val="20"/>
              <w:numPr>
                <w:ilvl w:val="0"/>
                <w:numId w:val="7"/>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额定功率，单位为kW；</w:t>
            </w:r>
          </w:p>
          <w:p>
            <w:pPr>
              <w:pStyle w:val="20"/>
              <w:numPr>
                <w:ilvl w:val="0"/>
                <w:numId w:val="7"/>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工作电压，单位为V；</w:t>
            </w:r>
          </w:p>
          <w:p>
            <w:pPr>
              <w:pStyle w:val="20"/>
              <w:numPr>
                <w:ilvl w:val="0"/>
                <w:numId w:val="7"/>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工作温度，单位为℃；</w:t>
            </w:r>
          </w:p>
          <w:p>
            <w:pPr>
              <w:pStyle w:val="20"/>
              <w:numPr>
                <w:ilvl w:val="0"/>
                <w:numId w:val="7"/>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工作区尺寸，单位为mm；</w:t>
            </w:r>
          </w:p>
          <w:p>
            <w:pPr>
              <w:pStyle w:val="20"/>
              <w:numPr>
                <w:ilvl w:val="0"/>
                <w:numId w:val="7"/>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工作压力，单位为Pa；</w:t>
            </w:r>
          </w:p>
          <w:p>
            <w:pPr>
              <w:pStyle w:val="20"/>
              <w:numPr>
                <w:ilvl w:val="0"/>
                <w:numId w:val="7"/>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制造日期；</w:t>
            </w:r>
          </w:p>
          <w:p>
            <w:pPr>
              <w:pStyle w:val="20"/>
              <w:numPr>
                <w:ilvl w:val="0"/>
                <w:numId w:val="7"/>
              </w:numPr>
              <w:rPr>
                <w:rFonts w:hint="default" w:ascii="Times New Roman" w:hAnsi="Times New Roman" w:eastAsia="宋体" w:cs="Times New Roman"/>
                <w:szCs w:val="21"/>
                <w:highlight w:val="none"/>
              </w:rPr>
            </w:pPr>
            <w:r>
              <w:rPr>
                <w:rFonts w:hint="default" w:ascii="Times New Roman" w:hAnsi="Times New Roman" w:cs="Times New Roman"/>
                <w:color w:val="auto"/>
                <w:sz w:val="21"/>
                <w:szCs w:val="21"/>
                <w:highlight w:val="none"/>
              </w:rPr>
              <w:t>制造厂名称。</w:t>
            </w:r>
          </w:p>
        </w:tc>
        <w:tc>
          <w:tcPr>
            <w:tcW w:w="2061" w:type="pct"/>
            <w:vAlign w:val="center"/>
          </w:tcPr>
          <w:p>
            <w:pPr>
              <w:pStyle w:val="14"/>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除另有要求外（见</w:t>
            </w:r>
            <w:r>
              <w:rPr>
                <w:rFonts w:hint="default" w:ascii="Times New Roman" w:hAnsi="Times New Roman" w:cs="Times New Roman"/>
                <w:color w:val="auto"/>
                <w:sz w:val="21"/>
                <w:szCs w:val="21"/>
                <w:highlight w:val="none"/>
                <w:lang w:val="en-US" w:eastAsia="zh-CN"/>
              </w:rPr>
              <w:t>9.2</w:t>
            </w:r>
            <w:r>
              <w:rPr>
                <w:rFonts w:hint="default" w:ascii="Times New Roman" w:hAnsi="Times New Roman" w:cs="Times New Roman"/>
                <w:color w:val="auto"/>
                <w:sz w:val="21"/>
                <w:szCs w:val="21"/>
                <w:highlight w:val="none"/>
                <w:lang w:eastAsia="zh-CN"/>
              </w:rPr>
              <w:t>），真空炉的铭牌上应标出下列各项</w:t>
            </w:r>
            <w:r>
              <w:rPr>
                <w:rFonts w:hint="default" w:ascii="Times New Roman" w:hAnsi="Times New Roman" w:cs="Times New Roman"/>
                <w:color w:val="auto"/>
                <w:sz w:val="21"/>
                <w:szCs w:val="21"/>
                <w:highlight w:val="none"/>
              </w:rPr>
              <w:t>：</w:t>
            </w:r>
          </w:p>
          <w:p>
            <w:pPr>
              <w:pStyle w:val="20"/>
              <w:numPr>
                <w:ilvl w:val="0"/>
                <w:numId w:val="8"/>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产品</w:t>
            </w:r>
            <w:r>
              <w:rPr>
                <w:rFonts w:hint="default" w:ascii="Times New Roman" w:hAnsi="Times New Roman" w:cs="Times New Roman"/>
                <w:color w:val="auto"/>
                <w:sz w:val="21"/>
                <w:szCs w:val="21"/>
                <w:highlight w:val="none"/>
                <w:lang w:eastAsia="zh-CN"/>
              </w:rPr>
              <w:t>的</w:t>
            </w:r>
            <w:r>
              <w:rPr>
                <w:rFonts w:hint="default" w:ascii="Times New Roman" w:hAnsi="Times New Roman" w:cs="Times New Roman"/>
                <w:color w:val="auto"/>
                <w:sz w:val="21"/>
                <w:szCs w:val="21"/>
                <w:highlight w:val="none"/>
              </w:rPr>
              <w:t>型号和名称；</w:t>
            </w:r>
          </w:p>
          <w:p>
            <w:pPr>
              <w:pStyle w:val="20"/>
              <w:numPr>
                <w:ilvl w:val="0"/>
                <w:numId w:val="8"/>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电源电压，单位为V；</w:t>
            </w:r>
          </w:p>
          <w:p>
            <w:pPr>
              <w:pStyle w:val="20"/>
              <w:numPr>
                <w:ilvl w:val="0"/>
                <w:numId w:val="8"/>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电源频率，单位为Hz；</w:t>
            </w:r>
          </w:p>
          <w:p>
            <w:pPr>
              <w:pStyle w:val="20"/>
              <w:numPr>
                <w:ilvl w:val="0"/>
                <w:numId w:val="8"/>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相数；</w:t>
            </w:r>
          </w:p>
          <w:p>
            <w:pPr>
              <w:pStyle w:val="20"/>
              <w:numPr>
                <w:ilvl w:val="0"/>
                <w:numId w:val="8"/>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额定功率，单位为kW；</w:t>
            </w:r>
          </w:p>
          <w:p>
            <w:pPr>
              <w:pStyle w:val="20"/>
              <w:numPr>
                <w:ilvl w:val="0"/>
                <w:numId w:val="8"/>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工作电压，单位为V；</w:t>
            </w:r>
          </w:p>
          <w:p>
            <w:pPr>
              <w:pStyle w:val="20"/>
              <w:numPr>
                <w:ilvl w:val="0"/>
                <w:numId w:val="8"/>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工作温度，单位为℃；</w:t>
            </w:r>
          </w:p>
          <w:p>
            <w:pPr>
              <w:pStyle w:val="20"/>
              <w:numPr>
                <w:ilvl w:val="0"/>
                <w:numId w:val="8"/>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工作区尺寸，单位为mm；</w:t>
            </w:r>
          </w:p>
          <w:p>
            <w:pPr>
              <w:pStyle w:val="20"/>
              <w:numPr>
                <w:ilvl w:val="0"/>
                <w:numId w:val="8"/>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工作压力，单位为Pa；</w:t>
            </w:r>
          </w:p>
          <w:p>
            <w:pPr>
              <w:pStyle w:val="20"/>
              <w:numPr>
                <w:ilvl w:val="0"/>
                <w:numId w:val="8"/>
              </w:numPr>
              <w:rPr>
                <w:rFonts w:hint="default" w:ascii="Times New Roman" w:hAnsi="Times New Roman" w:eastAsia="宋体" w:cs="Times New Roman"/>
                <w:szCs w:val="21"/>
                <w:highlight w:val="none"/>
              </w:rPr>
            </w:pPr>
            <w:r>
              <w:rPr>
                <w:rFonts w:hint="default" w:ascii="Times New Roman" w:hAnsi="Times New Roman" w:cs="Times New Roman"/>
                <w:color w:val="auto"/>
                <w:sz w:val="21"/>
                <w:szCs w:val="21"/>
                <w:highlight w:val="none"/>
              </w:rPr>
              <w:t>制造日期；</w:t>
            </w:r>
          </w:p>
          <w:p>
            <w:pPr>
              <w:pStyle w:val="20"/>
              <w:numPr>
                <w:ilvl w:val="0"/>
                <w:numId w:val="8"/>
              </w:numPr>
              <w:rPr>
                <w:rFonts w:hint="default" w:ascii="Times New Roman" w:hAnsi="Times New Roman" w:eastAsia="宋体" w:cs="Times New Roman"/>
                <w:szCs w:val="21"/>
                <w:highlight w:val="none"/>
              </w:rPr>
            </w:pPr>
            <w:r>
              <w:rPr>
                <w:rFonts w:hint="default" w:ascii="Times New Roman" w:hAnsi="Times New Roman" w:cs="Times New Roman"/>
                <w:color w:val="auto"/>
                <w:sz w:val="21"/>
                <w:szCs w:val="21"/>
                <w:highlight w:val="none"/>
              </w:rPr>
              <w:t>制造厂名称</w:t>
            </w:r>
            <w:r>
              <w:rPr>
                <w:rFonts w:hint="default" w:ascii="Times New Roman" w:hAnsi="Times New Roman" w:cs="Times New Roman"/>
                <w:color w:val="auto"/>
                <w:sz w:val="21"/>
                <w:szCs w:val="21"/>
                <w:highlight w:val="none"/>
                <w:lang w:eastAsia="zh-CN"/>
              </w:rPr>
              <w:t>（出口产品标明国名）</w:t>
            </w:r>
            <w:r>
              <w:rPr>
                <w:rFonts w:hint="default" w:ascii="Times New Roman" w:hAnsi="Times New Roman" w:cs="Times New Roman"/>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8.2　包装</w:t>
            </w:r>
          </w:p>
        </w:tc>
        <w:tc>
          <w:tcPr>
            <w:tcW w:w="2060" w:type="pct"/>
            <w:vAlign w:val="center"/>
          </w:tcPr>
          <w:p>
            <w:pPr>
              <w:pStyle w:val="18"/>
              <w:numPr>
                <w:ilvl w:val="2"/>
                <w:numId w:val="0"/>
              </w:numPr>
              <w:ind w:left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 xml:space="preserve">8.2.1 </w:t>
            </w:r>
            <w:r>
              <w:rPr>
                <w:rFonts w:hint="default" w:ascii="Times New Roman" w:hAnsi="Times New Roman" w:cs="Times New Roman"/>
                <w:color w:val="auto"/>
                <w:sz w:val="21"/>
                <w:szCs w:val="21"/>
                <w:highlight w:val="none"/>
              </w:rPr>
              <w:t>包装应采取防震、防雨、防潮措施，保证设备在装卸、运输、贮存等过程中不发生损坏、锈蚀等情况；</w:t>
            </w:r>
          </w:p>
          <w:p>
            <w:pPr>
              <w:pStyle w:val="18"/>
              <w:numPr>
                <w:ilvl w:val="2"/>
                <w:numId w:val="0"/>
              </w:numPr>
              <w:ind w:left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 xml:space="preserve">8.2.2 </w:t>
            </w:r>
            <w:r>
              <w:rPr>
                <w:rFonts w:hint="default" w:ascii="Times New Roman" w:hAnsi="Times New Roman" w:cs="Times New Roman"/>
                <w:color w:val="auto"/>
                <w:sz w:val="21"/>
                <w:szCs w:val="21"/>
                <w:highlight w:val="none"/>
              </w:rPr>
              <w:t>包装箱中随机文件应包括装箱单，出厂合格证书，（设备、泵、电源、真空计等）说明书；</w:t>
            </w:r>
          </w:p>
          <w:p>
            <w:pPr>
              <w:pStyle w:val="18"/>
              <w:numPr>
                <w:ilvl w:val="2"/>
                <w:numId w:val="0"/>
              </w:numPr>
              <w:ind w:leftChars="0"/>
              <w:rPr>
                <w:rFonts w:hint="default" w:ascii="Times New Roman" w:hAnsi="Times New Roman" w:eastAsia="宋体" w:cs="Times New Roman"/>
                <w:szCs w:val="21"/>
                <w:highlight w:val="none"/>
              </w:rPr>
            </w:pPr>
            <w:r>
              <w:rPr>
                <w:rFonts w:hint="default" w:ascii="Times New Roman" w:hAnsi="Times New Roman" w:cs="Times New Roman"/>
                <w:color w:val="auto"/>
                <w:sz w:val="21"/>
                <w:szCs w:val="21"/>
                <w:highlight w:val="none"/>
                <w:lang w:val="en-US" w:eastAsia="zh-CN"/>
              </w:rPr>
              <w:t xml:space="preserve">8.2.3 </w:t>
            </w:r>
            <w:r>
              <w:rPr>
                <w:rFonts w:hint="default" w:ascii="Times New Roman" w:hAnsi="Times New Roman" w:cs="Times New Roman"/>
                <w:color w:val="auto"/>
                <w:sz w:val="21"/>
                <w:szCs w:val="21"/>
                <w:highlight w:val="none"/>
              </w:rPr>
              <w:t>包装箱外表应标有起吊位置、重量。</w:t>
            </w:r>
          </w:p>
        </w:tc>
        <w:tc>
          <w:tcPr>
            <w:tcW w:w="2061" w:type="pct"/>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a)包装应采取防展、防雨、防潮措施，保证设备在装卸、运输、贮存等过程中不发生损坏、锈蚀</w:t>
            </w:r>
          </w:p>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lang w:eastAsia="zh-CN"/>
              </w:rPr>
            </w:pPr>
            <w:r>
              <w:rPr>
                <w:rFonts w:hint="default" w:ascii="Times New Roman" w:hAnsi="Times New Roman" w:eastAsia="宋体" w:cs="Times New Roman"/>
                <w:szCs w:val="21"/>
                <w:highlight w:val="none"/>
              </w:rPr>
              <w:t>等情况</w:t>
            </w:r>
            <w:r>
              <w:rPr>
                <w:rFonts w:hint="default" w:ascii="Times New Roman" w:hAnsi="Times New Roman" w:eastAsia="宋体" w:cs="Times New Roman"/>
                <w:szCs w:val="21"/>
                <w:highlight w:val="none"/>
                <w:lang w:eastAsia="zh-CN"/>
              </w:rPr>
              <w:t>；</w:t>
            </w:r>
          </w:p>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lang w:eastAsia="zh-CN"/>
              </w:rPr>
            </w:pPr>
            <w:r>
              <w:rPr>
                <w:rFonts w:hint="default" w:ascii="Times New Roman" w:hAnsi="Times New Roman" w:eastAsia="宋体" w:cs="Times New Roman"/>
                <w:szCs w:val="21"/>
                <w:highlight w:val="none"/>
              </w:rPr>
              <w:t>b)包装箱中随机文件应包括装箱单，出厂合格证书，(设备、泵、电源、真空计等)说明书</w:t>
            </w:r>
            <w:r>
              <w:rPr>
                <w:rFonts w:hint="default" w:ascii="Times New Roman" w:hAnsi="Times New Roman" w:eastAsia="宋体" w:cs="Times New Roman"/>
                <w:szCs w:val="21"/>
                <w:highlight w:val="none"/>
                <w:lang w:eastAsia="zh-CN"/>
              </w:rPr>
              <w:t>；</w:t>
            </w:r>
          </w:p>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c)包装箱外表应标有起吊位置、重量。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8.3　运输</w:t>
            </w:r>
          </w:p>
        </w:tc>
        <w:tc>
          <w:tcPr>
            <w:tcW w:w="2060" w:type="pct"/>
            <w:vAlign w:val="center"/>
          </w:tcPr>
          <w:p>
            <w:pPr>
              <w:pStyle w:val="14"/>
              <w:ind w:left="0" w:leftChars="0" w:firstLine="0" w:firstLineChars="0"/>
              <w:rPr>
                <w:rFonts w:hint="default" w:ascii="Times New Roman" w:hAnsi="Times New Roman" w:eastAsia="宋体" w:cs="Times New Roman"/>
                <w:szCs w:val="21"/>
                <w:highlight w:val="none"/>
              </w:rPr>
            </w:pPr>
            <w:r>
              <w:rPr>
                <w:rFonts w:hint="default" w:ascii="Times New Roman" w:hAnsi="Times New Roman" w:cs="Times New Roman"/>
                <w:color w:val="auto"/>
                <w:sz w:val="21"/>
                <w:szCs w:val="21"/>
                <w:highlight w:val="none"/>
              </w:rPr>
              <w:t>产品的运输应保证包装箱固定牢靠，有可能脱松的零件、部件应有防松措施，不得剧烈振动，应有防日晒，雨淋措施。</w:t>
            </w:r>
          </w:p>
        </w:tc>
        <w:tc>
          <w:tcPr>
            <w:tcW w:w="2061" w:type="pct"/>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设备的运输应保证包装箱固定牢靠，有可能松脱的零件，部件应有防松措施，不得剧烈振动，应有防日晒，雨淋措施。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 w:type="pct"/>
            <w:vAlign w:val="center"/>
          </w:tcPr>
          <w:p>
            <w:pPr>
              <w:keepNext w:val="0"/>
              <w:keepLines w:val="0"/>
              <w:pageBreakBefore w:val="0"/>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8.4　贮存</w:t>
            </w:r>
          </w:p>
        </w:tc>
        <w:tc>
          <w:tcPr>
            <w:tcW w:w="2060" w:type="pct"/>
            <w:vAlign w:val="center"/>
          </w:tcPr>
          <w:p>
            <w:pPr>
              <w:pStyle w:val="22"/>
              <w:keepNext w:val="0"/>
              <w:keepLines w:val="0"/>
              <w:pageBreakBefore w:val="0"/>
              <w:numPr>
                <w:ilvl w:val="0"/>
                <w:numId w:val="0"/>
              </w:numPr>
              <w:kinsoku/>
              <w:wordWrap/>
              <w:overflowPunct/>
              <w:topLinePunct w:val="0"/>
              <w:autoSpaceDE/>
              <w:autoSpaceDN/>
              <w:bidi w:val="0"/>
              <w:adjustRightInd/>
              <w:snapToGrid/>
              <w:spacing w:beforeLines="0" w:afterLines="0"/>
              <w:textAlignment w:val="auto"/>
              <w:outlineLvl w:val="9"/>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产品应贮存在通风良好，空气温度不应超过80%，所有设备部件中不得有任何残留水，对于长期停产的设备应抽成真空贮存。</w:t>
            </w:r>
          </w:p>
        </w:tc>
        <w:tc>
          <w:tcPr>
            <w:tcW w:w="2061" w:type="pct"/>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设备应贮存在通风良好的场所，空气湿度不应超过80%，所有设备部件中不得有任何残留水，对于长期停产的设备应抽成真空贮存。</w:t>
            </w:r>
          </w:p>
        </w:tc>
      </w:tr>
    </w:tbl>
    <w:p>
      <w:pPr>
        <w:pStyle w:val="14"/>
        <w:keepNext w:val="0"/>
        <w:keepLines w:val="0"/>
        <w:pageBreakBefore w:val="0"/>
        <w:wordWrap/>
        <w:overflowPunct/>
        <w:topLinePunct w:val="0"/>
        <w:bidi w:val="0"/>
        <w:spacing w:line="360" w:lineRule="auto"/>
        <w:ind w:firstLine="482"/>
        <w:rPr>
          <w:rFonts w:hint="default" w:ascii="黑体" w:hAnsi="黑体" w:eastAsia="黑体" w:cs="黑体"/>
          <w:b w:val="0"/>
          <w:bCs w:val="0"/>
          <w:color w:val="auto"/>
          <w:kern w:val="2"/>
          <w:sz w:val="24"/>
          <w:szCs w:val="24"/>
          <w:highlight w:val="none"/>
          <w:lang w:val="en-US" w:eastAsia="zh-CN" w:bidi="ar-SA"/>
        </w:rPr>
      </w:pPr>
      <w:r>
        <w:rPr>
          <w:rFonts w:hint="default" w:ascii="黑体" w:hAnsi="黑体" w:eastAsia="黑体" w:cs="黑体"/>
          <w:b w:val="0"/>
          <w:bCs w:val="0"/>
          <w:color w:val="auto"/>
          <w:kern w:val="2"/>
          <w:sz w:val="24"/>
          <w:szCs w:val="24"/>
          <w:highlight w:val="none"/>
          <w:lang w:val="en-US" w:eastAsia="zh-CN" w:bidi="ar-SA"/>
        </w:rPr>
        <w:t>七、与现行相关法律、法规、规章及相关标准的协调性</w:t>
      </w:r>
    </w:p>
    <w:p>
      <w:pPr>
        <w:keepNext w:val="0"/>
        <w:keepLines w:val="0"/>
        <w:pageBreakBefore w:val="0"/>
        <w:wordWrap/>
        <w:overflowPunct/>
        <w:topLinePunct w:val="0"/>
        <w:bidi w:val="0"/>
        <w:spacing w:line="360" w:lineRule="auto"/>
        <w:ind w:firstLine="482"/>
        <w:rPr>
          <w:rFonts w:hint="default" w:ascii="Times New Roman" w:hAnsi="Times New Roman" w:eastAsia="楷体_GB2312" w:cs="Times New Roman"/>
          <w:color w:val="auto"/>
          <w:sz w:val="24"/>
          <w:szCs w:val="24"/>
          <w:highlight w:val="none"/>
          <w:lang w:val="en-US"/>
        </w:rPr>
      </w:pPr>
      <w:r>
        <w:rPr>
          <w:rFonts w:hint="default" w:ascii="Times New Roman" w:hAnsi="Times New Roman" w:cs="Times New Roman"/>
          <w:kern w:val="0"/>
          <w:sz w:val="24"/>
          <w:szCs w:val="24"/>
          <w:highlight w:val="none"/>
        </w:rPr>
        <w:t>本</w:t>
      </w:r>
      <w:r>
        <w:rPr>
          <w:rFonts w:hint="default" w:ascii="Times New Roman" w:hAnsi="Times New Roman" w:cs="Times New Roman"/>
          <w:kern w:val="0"/>
          <w:sz w:val="24"/>
          <w:szCs w:val="24"/>
          <w:highlight w:val="none"/>
          <w:lang w:val="en-US" w:eastAsia="zh-CN"/>
        </w:rPr>
        <w:t>文件与现行法律、法规和规章、强制性国家标准无冲突，与现有及制定中的标准协调配套，无交叉重复。</w:t>
      </w:r>
    </w:p>
    <w:p>
      <w:pPr>
        <w:pStyle w:val="14"/>
        <w:keepNext w:val="0"/>
        <w:keepLines w:val="0"/>
        <w:pageBreakBefore w:val="0"/>
        <w:wordWrap/>
        <w:overflowPunct/>
        <w:topLinePunct w:val="0"/>
        <w:bidi w:val="0"/>
        <w:spacing w:line="360" w:lineRule="auto"/>
        <w:ind w:firstLine="482"/>
        <w:rPr>
          <w:rFonts w:hint="default" w:ascii="Times New Roman" w:hAnsi="Times New Roman" w:cs="Times New Roman"/>
          <w:b/>
          <w:color w:val="auto"/>
          <w:sz w:val="24"/>
          <w:szCs w:val="24"/>
          <w:highlight w:val="none"/>
        </w:rPr>
      </w:pPr>
      <w:r>
        <w:rPr>
          <w:rFonts w:hint="default" w:ascii="黑体" w:hAnsi="黑体" w:eastAsia="黑体" w:cs="黑体"/>
          <w:b w:val="0"/>
          <w:bCs w:val="0"/>
          <w:color w:val="auto"/>
          <w:kern w:val="2"/>
          <w:sz w:val="24"/>
          <w:szCs w:val="24"/>
          <w:highlight w:val="none"/>
          <w:lang w:val="en-US" w:eastAsia="zh-CN" w:bidi="ar-SA"/>
        </w:rPr>
        <w:t>八、重大分歧意见的处理经过和依据</w:t>
      </w:r>
    </w:p>
    <w:p>
      <w:pPr>
        <w:pStyle w:val="14"/>
        <w:keepNext w:val="0"/>
        <w:keepLines w:val="0"/>
        <w:pageBreakBefore w:val="0"/>
        <w:wordWrap/>
        <w:overflowPunct/>
        <w:topLinePunct w:val="0"/>
        <w:bidi w:val="0"/>
        <w:spacing w:line="360" w:lineRule="auto"/>
        <w:ind w:firstLine="480"/>
        <w:rPr>
          <w:rFonts w:hint="default" w:ascii="Times New Roman" w:hAnsi="Times New Roman" w:cs="Times New Roman"/>
          <w:color w:val="auto"/>
          <w:sz w:val="24"/>
          <w:szCs w:val="24"/>
          <w:highlight w:val="none"/>
        </w:rPr>
      </w:pPr>
      <w:r>
        <w:rPr>
          <w:rFonts w:hint="default" w:ascii="Times New Roman" w:hAnsi="Times New Roman" w:cs="Times New Roman"/>
          <w:kern w:val="0"/>
          <w:sz w:val="24"/>
          <w:szCs w:val="24"/>
          <w:highlight w:val="none"/>
        </w:rPr>
        <w:t>本</w:t>
      </w:r>
      <w:r>
        <w:rPr>
          <w:rFonts w:hint="default" w:ascii="Times New Roman" w:hAnsi="Times New Roman" w:cs="Times New Roman"/>
          <w:kern w:val="0"/>
          <w:sz w:val="24"/>
          <w:szCs w:val="24"/>
          <w:highlight w:val="none"/>
          <w:lang w:val="en-US" w:eastAsia="zh-CN"/>
        </w:rPr>
        <w:t>文件</w:t>
      </w:r>
      <w:r>
        <w:rPr>
          <w:rFonts w:hint="default" w:ascii="Times New Roman" w:hAnsi="Times New Roman" w:cs="Times New Roman"/>
          <w:kern w:val="0"/>
          <w:sz w:val="24"/>
          <w:szCs w:val="24"/>
          <w:highlight w:val="none"/>
        </w:rPr>
        <w:t>在制定过程中无重大分歧意见</w:t>
      </w:r>
      <w:r>
        <w:rPr>
          <w:rFonts w:hint="default" w:ascii="Times New Roman" w:hAnsi="Times New Roman" w:cs="Times New Roman"/>
          <w:color w:val="auto"/>
          <w:sz w:val="24"/>
          <w:szCs w:val="24"/>
          <w:highlight w:val="none"/>
        </w:rPr>
        <w:t>。</w:t>
      </w:r>
    </w:p>
    <w:p>
      <w:pPr>
        <w:pStyle w:val="14"/>
        <w:keepNext w:val="0"/>
        <w:keepLines w:val="0"/>
        <w:pageBreakBefore w:val="0"/>
        <w:wordWrap/>
        <w:overflowPunct/>
        <w:topLinePunct w:val="0"/>
        <w:bidi w:val="0"/>
        <w:spacing w:line="360" w:lineRule="auto"/>
        <w:ind w:firstLine="482"/>
        <w:rPr>
          <w:rFonts w:hint="default" w:ascii="黑体" w:hAnsi="黑体" w:eastAsia="黑体" w:cs="黑体"/>
          <w:b w:val="0"/>
          <w:bCs w:val="0"/>
          <w:color w:val="auto"/>
          <w:kern w:val="2"/>
          <w:sz w:val="24"/>
          <w:szCs w:val="24"/>
          <w:highlight w:val="none"/>
          <w:lang w:val="en-US" w:eastAsia="zh-CN" w:bidi="ar-SA"/>
        </w:rPr>
      </w:pPr>
      <w:r>
        <w:rPr>
          <w:rFonts w:hint="default" w:ascii="黑体" w:hAnsi="黑体" w:eastAsia="黑体" w:cs="黑体"/>
          <w:b w:val="0"/>
          <w:bCs w:val="0"/>
          <w:color w:val="auto"/>
          <w:kern w:val="2"/>
          <w:sz w:val="24"/>
          <w:szCs w:val="24"/>
          <w:highlight w:val="none"/>
          <w:lang w:val="en-US" w:eastAsia="zh-CN" w:bidi="ar-SA"/>
        </w:rPr>
        <w:t>九、贯彻标准的要求和措施建议</w:t>
      </w:r>
    </w:p>
    <w:p>
      <w:pPr>
        <w:pStyle w:val="14"/>
        <w:keepNext w:val="0"/>
        <w:keepLines w:val="0"/>
        <w:pageBreakBefore w:val="0"/>
        <w:wordWrap/>
        <w:overflowPunct/>
        <w:topLinePunct w:val="0"/>
        <w:bidi w:val="0"/>
        <w:spacing w:line="360" w:lineRule="auto"/>
        <w:ind w:firstLine="480"/>
        <w:rPr>
          <w:rFonts w:hint="default" w:ascii="Times New Roman" w:hAnsi="Times New Roman" w:eastAsia="宋体" w:cs="Times New Roman"/>
          <w:color w:val="auto"/>
          <w:sz w:val="24"/>
          <w:szCs w:val="24"/>
          <w:highlight w:val="none"/>
          <w:lang w:eastAsia="zh-CN"/>
        </w:rPr>
      </w:pPr>
      <w:r>
        <w:rPr>
          <w:rFonts w:hint="default" w:ascii="Times New Roman" w:hAnsi="Times New Roman" w:cs="Times New Roman"/>
          <w:sz w:val="24"/>
          <w:szCs w:val="24"/>
          <w:highlight w:val="none"/>
        </w:rPr>
        <w:t>可积极向相关厂家及国内外用户推荐采用本标准。建议发布后</w:t>
      </w:r>
      <w:r>
        <w:rPr>
          <w:rFonts w:hint="eastAsia" w:ascii="Times New Roman" w:cs="Times New Roman"/>
          <w:sz w:val="24"/>
          <w:szCs w:val="24"/>
          <w:highlight w:val="none"/>
          <w:lang w:val="en-US" w:eastAsia="zh-CN"/>
        </w:rPr>
        <w:t>1</w:t>
      </w:r>
      <w:r>
        <w:rPr>
          <w:rFonts w:hint="default" w:ascii="Times New Roman" w:hAnsi="Times New Roman" w:cs="Times New Roman"/>
          <w:sz w:val="24"/>
          <w:szCs w:val="24"/>
          <w:highlight w:val="none"/>
        </w:rPr>
        <w:t>个月实施</w:t>
      </w:r>
      <w:r>
        <w:rPr>
          <w:rFonts w:hint="default" w:ascii="Times New Roman" w:hAnsi="Times New Roman" w:eastAsia="宋体" w:cs="Times New Roman"/>
          <w:color w:val="auto"/>
          <w:sz w:val="24"/>
          <w:szCs w:val="24"/>
          <w:highlight w:val="none"/>
          <w:lang w:eastAsia="zh-CN"/>
        </w:rPr>
        <w:t>。</w:t>
      </w:r>
    </w:p>
    <w:p>
      <w:pPr>
        <w:pStyle w:val="14"/>
        <w:keepNext w:val="0"/>
        <w:keepLines w:val="0"/>
        <w:pageBreakBefore w:val="0"/>
        <w:wordWrap/>
        <w:overflowPunct/>
        <w:topLinePunct w:val="0"/>
        <w:bidi w:val="0"/>
        <w:spacing w:line="360" w:lineRule="auto"/>
        <w:ind w:firstLine="482"/>
        <w:rPr>
          <w:rFonts w:hint="default" w:ascii="Times New Roman" w:hAnsi="Times New Roman" w:cs="Times New Roman"/>
          <w:b/>
          <w:color w:val="auto"/>
          <w:sz w:val="24"/>
          <w:szCs w:val="24"/>
          <w:highlight w:val="none"/>
        </w:rPr>
      </w:pPr>
      <w:r>
        <w:rPr>
          <w:rFonts w:hint="default" w:ascii="黑体" w:hAnsi="黑体" w:eastAsia="黑体" w:cs="黑体"/>
          <w:b w:val="0"/>
          <w:bCs w:val="0"/>
          <w:color w:val="auto"/>
          <w:kern w:val="2"/>
          <w:sz w:val="24"/>
          <w:szCs w:val="24"/>
          <w:highlight w:val="none"/>
          <w:lang w:val="en-US" w:eastAsia="zh-CN" w:bidi="ar-SA"/>
        </w:rPr>
        <w:t>十、替代或废止现行相关标准的建议</w:t>
      </w:r>
    </w:p>
    <w:p>
      <w:pPr>
        <w:pStyle w:val="14"/>
        <w:keepNext w:val="0"/>
        <w:keepLines w:val="0"/>
        <w:pageBreakBefore w:val="0"/>
        <w:wordWrap/>
        <w:overflowPunct/>
        <w:topLinePunct w:val="0"/>
        <w:bidi w:val="0"/>
        <w:spacing w:line="360" w:lineRule="auto"/>
        <w:rPr>
          <w:rFonts w:hint="default" w:ascii="Times New Roman" w:hAnsi="Times New Roman" w:eastAsia="宋体" w:cs="Times New Roman"/>
          <w:color w:val="auto"/>
          <w:sz w:val="24"/>
          <w:szCs w:val="24"/>
          <w:highlight w:val="none"/>
          <w:lang w:eastAsia="zh-CN"/>
        </w:rPr>
      </w:pPr>
      <w:r>
        <w:rPr>
          <w:rFonts w:hint="default" w:ascii="Times New Roman" w:hAnsi="Times New Roman" w:cs="Times New Roman"/>
          <w:sz w:val="24"/>
          <w:szCs w:val="24"/>
          <w:highlight w:val="none"/>
        </w:rPr>
        <w:t>无</w:t>
      </w:r>
      <w:r>
        <w:rPr>
          <w:rFonts w:hint="default" w:ascii="Times New Roman" w:hAnsi="Times New Roman" w:cs="Times New Roman"/>
          <w:sz w:val="24"/>
          <w:szCs w:val="24"/>
          <w:highlight w:val="none"/>
          <w:lang w:eastAsia="zh-CN"/>
        </w:rPr>
        <w:t>。</w:t>
      </w:r>
    </w:p>
    <w:p>
      <w:pPr>
        <w:pStyle w:val="14"/>
        <w:keepNext w:val="0"/>
        <w:keepLines w:val="0"/>
        <w:pageBreakBefore w:val="0"/>
        <w:wordWrap/>
        <w:overflowPunct/>
        <w:topLinePunct w:val="0"/>
        <w:bidi w:val="0"/>
        <w:spacing w:line="360" w:lineRule="auto"/>
        <w:ind w:firstLine="482"/>
        <w:rPr>
          <w:rFonts w:hint="default" w:ascii="黑体" w:hAnsi="黑体" w:eastAsia="黑体" w:cs="黑体"/>
          <w:b w:val="0"/>
          <w:bCs w:val="0"/>
          <w:color w:val="auto"/>
          <w:kern w:val="2"/>
          <w:sz w:val="24"/>
          <w:szCs w:val="24"/>
          <w:highlight w:val="none"/>
          <w:lang w:val="en-US" w:eastAsia="zh-CN" w:bidi="ar-SA"/>
        </w:rPr>
      </w:pPr>
      <w:r>
        <w:rPr>
          <w:rFonts w:hint="default" w:ascii="黑体" w:hAnsi="黑体" w:eastAsia="黑体" w:cs="黑体"/>
          <w:b w:val="0"/>
          <w:bCs w:val="0"/>
          <w:color w:val="auto"/>
          <w:kern w:val="2"/>
          <w:sz w:val="24"/>
          <w:szCs w:val="24"/>
          <w:highlight w:val="none"/>
          <w:lang w:val="en-US" w:eastAsia="zh-CN" w:bidi="ar-SA"/>
        </w:rPr>
        <w:t>十一、其它应予说明的事项</w:t>
      </w:r>
    </w:p>
    <w:p>
      <w:pPr>
        <w:pStyle w:val="14"/>
        <w:keepNext w:val="0"/>
        <w:keepLines w:val="0"/>
        <w:pageBreakBefore w:val="0"/>
        <w:wordWrap/>
        <w:overflowPunct/>
        <w:topLinePunct w:val="0"/>
        <w:bidi w:val="0"/>
        <w:spacing w:line="360" w:lineRule="auto"/>
        <w:ind w:firstLine="480"/>
        <w:rPr>
          <w:rFonts w:hint="default" w:ascii="Times New Roman" w:hAnsi="Times New Roman" w:cs="Times New Roman"/>
          <w:sz w:val="24"/>
          <w:szCs w:val="24"/>
          <w:highlight w:val="none"/>
          <w:lang w:eastAsia="zh-CN"/>
        </w:rPr>
      </w:pPr>
      <w:r>
        <w:rPr>
          <w:rFonts w:hint="default" w:ascii="Times New Roman" w:hAnsi="Times New Roman" w:cs="Times New Roman"/>
          <w:sz w:val="24"/>
          <w:szCs w:val="24"/>
          <w:highlight w:val="none"/>
        </w:rPr>
        <w:t>无</w:t>
      </w:r>
      <w:r>
        <w:rPr>
          <w:rFonts w:hint="default" w:ascii="Times New Roman" w:hAnsi="Times New Roman" w:cs="Times New Roman"/>
          <w:sz w:val="24"/>
          <w:szCs w:val="24"/>
          <w:highlight w:val="none"/>
          <w:lang w:eastAsia="zh-CN"/>
        </w:rPr>
        <w:t>。</w:t>
      </w:r>
    </w:p>
    <w:p>
      <w:pPr>
        <w:pStyle w:val="14"/>
        <w:keepNext w:val="0"/>
        <w:keepLines w:val="0"/>
        <w:pageBreakBefore w:val="0"/>
        <w:wordWrap/>
        <w:overflowPunct/>
        <w:topLinePunct w:val="0"/>
        <w:bidi w:val="0"/>
        <w:spacing w:line="360" w:lineRule="auto"/>
        <w:ind w:firstLine="480"/>
        <w:rPr>
          <w:rFonts w:hint="default" w:ascii="Times New Roman" w:hAnsi="Times New Roman" w:cs="Times New Roman"/>
          <w:sz w:val="24"/>
          <w:szCs w:val="24"/>
          <w:highlight w:val="none"/>
          <w:lang w:eastAsia="zh-CN"/>
        </w:rPr>
      </w:pPr>
    </w:p>
    <w:p>
      <w:pPr>
        <w:keepNext w:val="0"/>
        <w:keepLines w:val="0"/>
        <w:pageBreakBefore w:val="0"/>
        <w:wordWrap/>
        <w:overflowPunct/>
        <w:topLinePunct w:val="0"/>
        <w:bidi w:val="0"/>
        <w:spacing w:line="360" w:lineRule="auto"/>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 xml:space="preserve">                  CPMA团体标准《</w:t>
      </w:r>
      <w:r>
        <w:rPr>
          <w:rFonts w:hint="eastAsia" w:cs="Times New Roman"/>
          <w:color w:val="auto"/>
          <w:sz w:val="24"/>
          <w:szCs w:val="24"/>
          <w:highlight w:val="none"/>
          <w:lang w:eastAsia="zh-CN"/>
        </w:rPr>
        <w:t>振荡热压真空烧结炉</w:t>
      </w:r>
      <w:r>
        <w:rPr>
          <w:rFonts w:hint="default" w:ascii="Times New Roman" w:hAnsi="Times New Roman" w:cs="Times New Roman"/>
          <w:color w:val="auto"/>
          <w:sz w:val="24"/>
          <w:szCs w:val="24"/>
          <w:highlight w:val="none"/>
        </w:rPr>
        <w:t>》编制工作组</w:t>
      </w:r>
    </w:p>
    <w:p>
      <w:pPr>
        <w:keepNext w:val="0"/>
        <w:keepLines w:val="0"/>
        <w:pageBreakBefore w:val="0"/>
        <w:wordWrap/>
        <w:overflowPunct/>
        <w:topLinePunct w:val="0"/>
        <w:bidi w:val="0"/>
        <w:spacing w:line="360" w:lineRule="auto"/>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rPr>
        <w:t xml:space="preserve">                              2024-</w:t>
      </w:r>
      <w:r>
        <w:rPr>
          <w:rFonts w:hint="eastAsia" w:cs="Times New Roman"/>
          <w:color w:val="auto"/>
          <w:sz w:val="24"/>
          <w:szCs w:val="24"/>
          <w:highlight w:val="none"/>
          <w:lang w:val="en-US" w:eastAsia="zh-CN"/>
        </w:rPr>
        <w:t>6</w:t>
      </w:r>
      <w:r>
        <w:rPr>
          <w:rFonts w:hint="default" w:ascii="Times New Roman" w:hAnsi="Times New Roman" w:cs="Times New Roman"/>
          <w:color w:val="auto"/>
          <w:sz w:val="24"/>
          <w:szCs w:val="24"/>
          <w:highlight w:val="none"/>
        </w:rPr>
        <w:t>-</w:t>
      </w:r>
      <w:r>
        <w:rPr>
          <w:rFonts w:hint="eastAsia" w:cs="Times New Roman"/>
          <w:color w:val="auto"/>
          <w:sz w:val="24"/>
          <w:szCs w:val="24"/>
          <w:highlight w:val="none"/>
          <w:lang w:val="en-US" w:eastAsia="zh-CN"/>
        </w:rPr>
        <w:t>25</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auto"/>
    <w:pitch w:val="default"/>
    <w:sig w:usb0="E00006FF" w:usb1="420024FF" w:usb2="02000000" w:usb3="00000000" w:csb0="2000019F" w:csb1="00000000"/>
  </w:font>
  <w:font w:name="楷体_GB2312">
    <w:altName w:val="楷体"/>
    <w:panose1 w:val="00000000000000000000"/>
    <w:charset w:val="00"/>
    <w:family w:val="auto"/>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AED879"/>
    <w:multiLevelType w:val="singleLevel"/>
    <w:tmpl w:val="03AED879"/>
    <w:lvl w:ilvl="0" w:tentative="0">
      <w:start w:val="2"/>
      <w:numFmt w:val="decimal"/>
      <w:suff w:val="nothing"/>
      <w:lvlText w:val="%1）"/>
      <w:lvlJc w:val="left"/>
    </w:lvl>
  </w:abstractNum>
  <w:abstractNum w:abstractNumId="1">
    <w:nsid w:val="10094C6D"/>
    <w:multiLevelType w:val="multilevel"/>
    <w:tmpl w:val="10094C6D"/>
    <w:lvl w:ilvl="0" w:tentative="0">
      <w:start w:val="1"/>
      <w:numFmt w:val="lowerLetter"/>
      <w:lvlText w:val="%1)"/>
      <w:lvlJc w:val="left"/>
      <w:pPr>
        <w:tabs>
          <w:tab w:val="left" w:pos="840"/>
        </w:tabs>
        <w:ind w:left="839" w:hanging="419"/>
      </w:pPr>
      <w:rPr>
        <w:rFonts w:hint="eastAsia" w:ascii="宋体" w:eastAsia="宋体"/>
        <w:b w:val="0"/>
        <w:i w:val="0"/>
        <w:sz w:val="21"/>
        <w:szCs w:val="21"/>
      </w:rPr>
    </w:lvl>
    <w:lvl w:ilvl="1" w:tentative="0">
      <w:start w:val="1"/>
      <w:numFmt w:val="decimal"/>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2">
    <w:nsid w:val="1FC91163"/>
    <w:multiLevelType w:val="multilevel"/>
    <w:tmpl w:val="1FC91163"/>
    <w:lvl w:ilvl="0" w:tentative="0">
      <w:start w:val="1"/>
      <w:numFmt w:val="decimal"/>
      <w:pStyle w:val="22"/>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17"/>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19"/>
      <w:suff w:val="nothing"/>
      <w:lvlText w:val="%1.%2.%3　"/>
      <w:lvlJc w:val="left"/>
      <w:pPr>
        <w:ind w:left="0" w:firstLine="0"/>
      </w:pPr>
      <w:rPr>
        <w:rFonts w:hint="eastAsia" w:ascii="黑体" w:hAnsi="Times New Roman" w:eastAsia="黑体"/>
        <w:b w:val="0"/>
        <w:i w:val="0"/>
        <w:sz w:val="21"/>
      </w:rPr>
    </w:lvl>
    <w:lvl w:ilvl="3" w:tentative="0">
      <w:start w:val="1"/>
      <w:numFmt w:val="decimal"/>
      <w:pStyle w:val="21"/>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
    <w:nsid w:val="44C50F90"/>
    <w:multiLevelType w:val="multilevel"/>
    <w:tmpl w:val="44C50F90"/>
    <w:lvl w:ilvl="0" w:tentative="0">
      <w:start w:val="1"/>
      <w:numFmt w:val="lowerLetter"/>
      <w:pStyle w:val="20"/>
      <w:lvlText w:val="%1)"/>
      <w:lvlJc w:val="left"/>
      <w:pPr>
        <w:tabs>
          <w:tab w:val="left" w:pos="840"/>
        </w:tabs>
        <w:ind w:left="839" w:hanging="419"/>
      </w:pPr>
      <w:rPr>
        <w:rFonts w:hint="eastAsia" w:ascii="宋体" w:eastAsia="宋体"/>
        <w:b w:val="0"/>
        <w:i w:val="0"/>
        <w:sz w:val="21"/>
        <w:szCs w:val="21"/>
      </w:rPr>
    </w:lvl>
    <w:lvl w:ilvl="1" w:tentative="0">
      <w:start w:val="1"/>
      <w:numFmt w:val="decimal"/>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4">
    <w:nsid w:val="450E7D5C"/>
    <w:multiLevelType w:val="multilevel"/>
    <w:tmpl w:val="450E7D5C"/>
    <w:lvl w:ilvl="0" w:tentative="0">
      <w:start w:val="1"/>
      <w:numFmt w:val="lowerLetter"/>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6FEEF75C"/>
    <w:multiLevelType w:val="multilevel"/>
    <w:tmpl w:val="6FEEF75C"/>
    <w:lvl w:ilvl="0" w:tentative="0">
      <w:start w:val="1"/>
      <w:numFmt w:val="lowerLetter"/>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2"/>
  </w:num>
  <w:num w:numId="2">
    <w:abstractNumId w:val="3"/>
  </w:num>
  <w:num w:numId="3">
    <w:abstractNumId w:val="0"/>
  </w:num>
  <w:num w:numId="4">
    <w:abstractNumId w:val="4"/>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00146108"/>
    <w:rsid w:val="000079A5"/>
    <w:rsid w:val="0001147A"/>
    <w:rsid w:val="00021F9A"/>
    <w:rsid w:val="00022FC5"/>
    <w:rsid w:val="00023CBA"/>
    <w:rsid w:val="00045D61"/>
    <w:rsid w:val="00046160"/>
    <w:rsid w:val="00054329"/>
    <w:rsid w:val="00090610"/>
    <w:rsid w:val="000A1434"/>
    <w:rsid w:val="000E7141"/>
    <w:rsid w:val="00111BBD"/>
    <w:rsid w:val="0012398D"/>
    <w:rsid w:val="0014059C"/>
    <w:rsid w:val="00146108"/>
    <w:rsid w:val="00156BB0"/>
    <w:rsid w:val="00172C4F"/>
    <w:rsid w:val="0018706C"/>
    <w:rsid w:val="001F2374"/>
    <w:rsid w:val="00201FA6"/>
    <w:rsid w:val="00235A39"/>
    <w:rsid w:val="00270554"/>
    <w:rsid w:val="002A3E3E"/>
    <w:rsid w:val="002A5E21"/>
    <w:rsid w:val="002E5761"/>
    <w:rsid w:val="003151D9"/>
    <w:rsid w:val="003801D4"/>
    <w:rsid w:val="00380916"/>
    <w:rsid w:val="003B1829"/>
    <w:rsid w:val="003D3E99"/>
    <w:rsid w:val="003E2B28"/>
    <w:rsid w:val="00400A12"/>
    <w:rsid w:val="00415534"/>
    <w:rsid w:val="00431295"/>
    <w:rsid w:val="004358A5"/>
    <w:rsid w:val="00466998"/>
    <w:rsid w:val="004C0DBF"/>
    <w:rsid w:val="004D72B3"/>
    <w:rsid w:val="004E44EC"/>
    <w:rsid w:val="004E684F"/>
    <w:rsid w:val="004F222C"/>
    <w:rsid w:val="004F6FDC"/>
    <w:rsid w:val="0050048F"/>
    <w:rsid w:val="00507D01"/>
    <w:rsid w:val="00515047"/>
    <w:rsid w:val="0051688E"/>
    <w:rsid w:val="0053795F"/>
    <w:rsid w:val="0055025D"/>
    <w:rsid w:val="00580114"/>
    <w:rsid w:val="00580523"/>
    <w:rsid w:val="00584924"/>
    <w:rsid w:val="00590AF8"/>
    <w:rsid w:val="005C79C7"/>
    <w:rsid w:val="006C1DFE"/>
    <w:rsid w:val="006C669F"/>
    <w:rsid w:val="006E3D66"/>
    <w:rsid w:val="006F1EDF"/>
    <w:rsid w:val="00700A75"/>
    <w:rsid w:val="00702BC6"/>
    <w:rsid w:val="00721090"/>
    <w:rsid w:val="00770B0B"/>
    <w:rsid w:val="00771571"/>
    <w:rsid w:val="00780F9F"/>
    <w:rsid w:val="0078176E"/>
    <w:rsid w:val="007D3217"/>
    <w:rsid w:val="00842B69"/>
    <w:rsid w:val="0084730E"/>
    <w:rsid w:val="008B2E4E"/>
    <w:rsid w:val="009275AB"/>
    <w:rsid w:val="009444D7"/>
    <w:rsid w:val="009453C1"/>
    <w:rsid w:val="00957EBA"/>
    <w:rsid w:val="00986394"/>
    <w:rsid w:val="00993A3B"/>
    <w:rsid w:val="009B54F2"/>
    <w:rsid w:val="009C717C"/>
    <w:rsid w:val="00A101FB"/>
    <w:rsid w:val="00A230FA"/>
    <w:rsid w:val="00A30F29"/>
    <w:rsid w:val="00A4134E"/>
    <w:rsid w:val="00A41388"/>
    <w:rsid w:val="00A526A7"/>
    <w:rsid w:val="00A561C8"/>
    <w:rsid w:val="00A7563F"/>
    <w:rsid w:val="00AB1CF4"/>
    <w:rsid w:val="00AB40E2"/>
    <w:rsid w:val="00AC1698"/>
    <w:rsid w:val="00AE0B78"/>
    <w:rsid w:val="00B019D4"/>
    <w:rsid w:val="00B37F84"/>
    <w:rsid w:val="00B5238A"/>
    <w:rsid w:val="00B608BF"/>
    <w:rsid w:val="00B62B4F"/>
    <w:rsid w:val="00B67C71"/>
    <w:rsid w:val="00B830B0"/>
    <w:rsid w:val="00B8418B"/>
    <w:rsid w:val="00B97309"/>
    <w:rsid w:val="00BD0647"/>
    <w:rsid w:val="00BD73F5"/>
    <w:rsid w:val="00C250D0"/>
    <w:rsid w:val="00C355E9"/>
    <w:rsid w:val="00C35EBA"/>
    <w:rsid w:val="00C67A3D"/>
    <w:rsid w:val="00C86892"/>
    <w:rsid w:val="00C9632E"/>
    <w:rsid w:val="00CB1EA9"/>
    <w:rsid w:val="00CC54A0"/>
    <w:rsid w:val="00CE532F"/>
    <w:rsid w:val="00CE7343"/>
    <w:rsid w:val="00CF0D98"/>
    <w:rsid w:val="00CF3A91"/>
    <w:rsid w:val="00D27097"/>
    <w:rsid w:val="00D67120"/>
    <w:rsid w:val="00D7301C"/>
    <w:rsid w:val="00D805A4"/>
    <w:rsid w:val="00D90C32"/>
    <w:rsid w:val="00DC5EE4"/>
    <w:rsid w:val="00DC6894"/>
    <w:rsid w:val="00E2207C"/>
    <w:rsid w:val="00E30240"/>
    <w:rsid w:val="00E32589"/>
    <w:rsid w:val="00E35B44"/>
    <w:rsid w:val="00E81D0B"/>
    <w:rsid w:val="00EA7548"/>
    <w:rsid w:val="00ED445F"/>
    <w:rsid w:val="00EF17C4"/>
    <w:rsid w:val="00EF769C"/>
    <w:rsid w:val="00F044A2"/>
    <w:rsid w:val="00F07F37"/>
    <w:rsid w:val="00F11498"/>
    <w:rsid w:val="00F13219"/>
    <w:rsid w:val="00F26FE1"/>
    <w:rsid w:val="00F33880"/>
    <w:rsid w:val="00F44F8F"/>
    <w:rsid w:val="00FB7066"/>
    <w:rsid w:val="00FC24EC"/>
    <w:rsid w:val="00FC5268"/>
    <w:rsid w:val="00FF5256"/>
    <w:rsid w:val="04B861D8"/>
    <w:rsid w:val="05717B85"/>
    <w:rsid w:val="073B42B8"/>
    <w:rsid w:val="12763224"/>
    <w:rsid w:val="15230DCD"/>
    <w:rsid w:val="1B1162E2"/>
    <w:rsid w:val="2C1A593C"/>
    <w:rsid w:val="2D11636C"/>
    <w:rsid w:val="315B74D9"/>
    <w:rsid w:val="39677749"/>
    <w:rsid w:val="41416D8F"/>
    <w:rsid w:val="43291AE8"/>
    <w:rsid w:val="466D1A51"/>
    <w:rsid w:val="4B42374B"/>
    <w:rsid w:val="4B7276C4"/>
    <w:rsid w:val="4F4B6FA2"/>
    <w:rsid w:val="54105DF7"/>
    <w:rsid w:val="5ADC0A7A"/>
    <w:rsid w:val="5FC131EA"/>
    <w:rsid w:val="64AE55AD"/>
    <w:rsid w:val="65852B41"/>
    <w:rsid w:val="6D6830E8"/>
    <w:rsid w:val="78DA2C59"/>
    <w:rsid w:val="79A36229"/>
    <w:rsid w:val="7AC1262F"/>
    <w:rsid w:val="7D06022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qFormat/>
    <w:uiPriority w:val="0"/>
    <w:rPr>
      <w:b/>
      <w:bCs/>
      <w:kern w:val="0"/>
      <w:sz w:val="28"/>
    </w:rPr>
  </w:style>
  <w:style w:type="paragraph" w:styleId="3">
    <w:name w:val="Balloon Text"/>
    <w:basedOn w:val="1"/>
    <w:link w:val="10"/>
    <w:qFormat/>
    <w:uiPriority w:val="0"/>
    <w:rPr>
      <w:sz w:val="18"/>
      <w:szCs w:val="18"/>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9">
    <w:name w:val="Hyperlink"/>
    <w:unhideWhenUsed/>
    <w:qFormat/>
    <w:uiPriority w:val="99"/>
    <w:rPr>
      <w:color w:val="0000FF"/>
      <w:u w:val="single"/>
    </w:rPr>
  </w:style>
  <w:style w:type="character" w:customStyle="1" w:styleId="10">
    <w:name w:val="批注框文本 字符"/>
    <w:link w:val="3"/>
    <w:qFormat/>
    <w:uiPriority w:val="0"/>
    <w:rPr>
      <w:kern w:val="2"/>
      <w:sz w:val="18"/>
      <w:szCs w:val="18"/>
    </w:rPr>
  </w:style>
  <w:style w:type="character" w:customStyle="1" w:styleId="11">
    <w:name w:val="页脚 字符"/>
    <w:link w:val="4"/>
    <w:qFormat/>
    <w:uiPriority w:val="0"/>
    <w:rPr>
      <w:kern w:val="2"/>
      <w:sz w:val="18"/>
      <w:szCs w:val="18"/>
    </w:rPr>
  </w:style>
  <w:style w:type="character" w:customStyle="1" w:styleId="12">
    <w:name w:val="页眉 字符"/>
    <w:link w:val="5"/>
    <w:qFormat/>
    <w:uiPriority w:val="99"/>
    <w:rPr>
      <w:kern w:val="2"/>
      <w:sz w:val="18"/>
      <w:szCs w:val="18"/>
    </w:rPr>
  </w:style>
  <w:style w:type="paragraph" w:customStyle="1" w:styleId="13">
    <w:name w:val=" Char Char Char1 Char"/>
    <w:basedOn w:val="1"/>
    <w:qFormat/>
    <w:uiPriority w:val="0"/>
  </w:style>
  <w:style w:type="paragraph" w:customStyle="1" w:styleId="14">
    <w:name w:val="段"/>
    <w:link w:val="15"/>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15">
    <w:name w:val="段 Char"/>
    <w:link w:val="14"/>
    <w:qFormat/>
    <w:uiPriority w:val="0"/>
    <w:rPr>
      <w:rFonts w:ascii="宋体"/>
      <w:sz w:val="21"/>
      <w:lang w:val="en-US" w:eastAsia="zh-CN" w:bidi="ar-SA"/>
    </w:rPr>
  </w:style>
  <w:style w:type="table" w:customStyle="1" w:styleId="16">
    <w:name w:val="Table Normal"/>
    <w:semiHidden/>
    <w:unhideWhenUsed/>
    <w:qFormat/>
    <w:uiPriority w:val="2"/>
    <w:pPr>
      <w:widowControl w:val="0"/>
    </w:pPr>
    <w:rPr>
      <w:sz w:val="22"/>
      <w:lang w:eastAsia="en-US"/>
    </w:rPr>
    <w:tblPr>
      <w:tblCellMar>
        <w:top w:w="0" w:type="dxa"/>
        <w:left w:w="0" w:type="dxa"/>
        <w:bottom w:w="0" w:type="dxa"/>
        <w:right w:w="0" w:type="dxa"/>
      </w:tblCellMar>
    </w:tblPr>
  </w:style>
  <w:style w:type="paragraph" w:customStyle="1" w:styleId="17">
    <w:name w:val="一级条标题"/>
    <w:next w:val="14"/>
    <w:autoRedefine/>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18">
    <w:name w:val="二级无"/>
    <w:basedOn w:val="19"/>
    <w:autoRedefine/>
    <w:qFormat/>
    <w:uiPriority w:val="0"/>
    <w:pPr>
      <w:spacing w:beforeLines="0" w:afterLines="0"/>
    </w:pPr>
    <w:rPr>
      <w:rFonts w:ascii="宋体" w:eastAsia="宋体"/>
    </w:rPr>
  </w:style>
  <w:style w:type="paragraph" w:customStyle="1" w:styleId="19">
    <w:name w:val="二级条标题"/>
    <w:basedOn w:val="17"/>
    <w:next w:val="14"/>
    <w:autoRedefine/>
    <w:qFormat/>
    <w:uiPriority w:val="0"/>
    <w:pPr>
      <w:numPr>
        <w:ilvl w:val="2"/>
        <w:numId w:val="1"/>
      </w:numPr>
      <w:spacing w:before="50" w:after="50"/>
      <w:outlineLvl w:val="3"/>
    </w:pPr>
  </w:style>
  <w:style w:type="paragraph" w:customStyle="1" w:styleId="20">
    <w:name w:val="字母编号列项（一级）"/>
    <w:autoRedefine/>
    <w:qFormat/>
    <w:uiPriority w:val="0"/>
    <w:pPr>
      <w:numPr>
        <w:ilvl w:val="0"/>
        <w:numId w:val="2"/>
      </w:numPr>
      <w:jc w:val="both"/>
    </w:pPr>
    <w:rPr>
      <w:rFonts w:ascii="宋体" w:hAnsi="Times New Roman" w:eastAsia="宋体" w:cs="Times New Roman"/>
      <w:sz w:val="21"/>
      <w:lang w:val="en-US" w:eastAsia="zh-CN" w:bidi="ar-SA"/>
    </w:rPr>
  </w:style>
  <w:style w:type="paragraph" w:customStyle="1" w:styleId="21">
    <w:name w:val="三级条标题"/>
    <w:basedOn w:val="19"/>
    <w:next w:val="14"/>
    <w:autoRedefine/>
    <w:qFormat/>
    <w:uiPriority w:val="0"/>
    <w:pPr>
      <w:numPr>
        <w:ilvl w:val="3"/>
        <w:numId w:val="1"/>
      </w:numPr>
      <w:outlineLvl w:val="4"/>
    </w:pPr>
  </w:style>
  <w:style w:type="paragraph" w:customStyle="1" w:styleId="22">
    <w:name w:val="章标题"/>
    <w:next w:val="14"/>
    <w:autoRedefine/>
    <w:qFormat/>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MC SYSTEM</Company>
  <Pages>16</Pages>
  <Words>10265</Words>
  <Characters>11437</Characters>
  <Lines>34</Lines>
  <Paragraphs>9</Paragraphs>
  <TotalTime>0</TotalTime>
  <ScaleCrop>false</ScaleCrop>
  <LinksUpToDate>false</LinksUpToDate>
  <CharactersWithSpaces>11737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2024-05-14T12:41:00Z</dcterms:created>
  <dc:creator>MC SYSTEM</dc:creator>
  <cp:lastModifiedBy>世界第一总攻大人</cp:lastModifiedBy>
  <cp:lastPrinted>2015-03-04T05:26:00Z</cp:lastPrinted>
  <dcterms:modified xsi:type="dcterms:W3CDTF">2024-06-23T05:03:44Z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07F8600F13F54A3B92CB27B81D4F6B94_13</vt:lpwstr>
  </property>
</Properties>
</file>