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 xml:space="preserve">  CPMA团体标准《增材制造 激光粉末床熔融用GH4738粉末》编制说明</w:t>
      </w:r>
    </w:p>
    <w:p>
      <w:pPr>
        <w:keepNext w:val="0"/>
        <w:keepLines w:val="0"/>
        <w:pageBreakBefore w:val="0"/>
        <w:wordWrap/>
        <w:overflowPunct/>
        <w:topLinePunct w:val="0"/>
        <w:bidi w:val="0"/>
        <w:spacing w:line="360" w:lineRule="auto"/>
        <w:ind w:firstLine="470" w:firstLineChars="196"/>
        <w:rPr>
          <w:rFonts w:hint="default" w:ascii="Times New Roman" w:hAnsi="Times New Roman" w:cs="Times New Roman"/>
          <w:b/>
          <w:bCs/>
          <w:color w:val="auto"/>
          <w:sz w:val="24"/>
          <w:szCs w:val="24"/>
        </w:rPr>
      </w:pPr>
      <w:r>
        <w:rPr>
          <w:rFonts w:hint="eastAsia" w:ascii="黑体" w:hAnsi="黑体" w:eastAsia="黑体" w:cs="黑体"/>
          <w:b w:val="0"/>
          <w:bCs w:val="0"/>
          <w:color w:val="auto"/>
          <w:sz w:val="24"/>
          <w:szCs w:val="24"/>
        </w:rPr>
        <w:t>一、工作简况</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 xml:space="preserve">1.1 </w:t>
      </w:r>
      <w:r>
        <w:rPr>
          <w:rFonts w:hint="default" w:ascii="Times New Roman" w:hAnsi="Times New Roman" w:cs="Times New Roman"/>
          <w:color w:val="auto"/>
          <w:sz w:val="24"/>
          <w:szCs w:val="24"/>
        </w:rPr>
        <w:t>下达计划任务的完整名称、项目计划发布文件号、本项目的计划代号；</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本项目是根据粉末冶金产业技术创新战略联盟202</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年度团体标准制订计划，编制的“增材制造 激光粉末床熔融用GH4738粉末”。计划应完成时间202</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年。</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 xml:space="preserve">1.2 </w:t>
      </w:r>
      <w:r>
        <w:rPr>
          <w:rFonts w:hint="default" w:ascii="Times New Roman" w:hAnsi="Times New Roman" w:cs="Times New Roman"/>
          <w:color w:val="auto"/>
          <w:sz w:val="24"/>
          <w:szCs w:val="24"/>
        </w:rPr>
        <w:t>主要承办单位完整名称、副主办单位或协作单位完整名称；</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北京钢研高纳科技股份有限公司是国内最早从事粉末高温合金及其制品研究的单位之一，成立至今承担并完成了多项粉末高温合金相关的军品配套、总装预研、863、973、大飞机专项、两机专项项目等，研制的粉末高温合金制件满足了多个型号航空发动机研制与应用需求。在河北涿州建成了两条完整的粉末高温合金生产线。</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北京钢研高纳科技股份有限公司拥有完整的GH4738</w:t>
      </w:r>
      <w:r>
        <w:rPr>
          <w:rFonts w:hint="eastAsia" w:ascii="Times New Roman" w:cs="Times New Roman"/>
          <w:color w:val="auto"/>
          <w:sz w:val="24"/>
          <w:szCs w:val="24"/>
          <w:lang w:val="en-US" w:eastAsia="zh-CN"/>
        </w:rPr>
        <w:t>合金粉末</w:t>
      </w:r>
      <w:r>
        <w:rPr>
          <w:rFonts w:hint="default" w:ascii="Times New Roman" w:hAnsi="Times New Roman" w:cs="Times New Roman"/>
          <w:color w:val="auto"/>
          <w:sz w:val="24"/>
          <w:szCs w:val="24"/>
          <w:lang w:val="en-US" w:eastAsia="zh-CN"/>
        </w:rPr>
        <w:t>生产线，包括PREP粉末制备设备、EIGA制粉设备、VIGA制粉设备、粉末筛分设备、静电处理设备等，并拥有化学成分分析设备、激光衍射粒度分析仪、霍尔流速计、扫描电子显微镜、工具显微镜、金相显微镜等测试分析设备，为本标准的起草制定提供了强大的设备条件。</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专家团队具有几十年的金属材料研发及质量性能评估工作经验，包括GH4738、Inconel718（GH4169）、Inconel625、GH3536等镍基和钴基、铁基等合金材料以及铝、镁、钛等轻质合金材料等众多种类的粉末冶金材料。也为本标准的制定奠定了丰富的试验数据基础，提供了强大的技术支撑。</w:t>
      </w:r>
    </w:p>
    <w:p>
      <w:pPr>
        <w:pStyle w:val="14"/>
        <w:keepNext w:val="0"/>
        <w:keepLines w:val="0"/>
        <w:pageBreakBefore w:val="0"/>
        <w:wordWrap/>
        <w:overflowPunct/>
        <w:topLinePunct w:val="0"/>
        <w:bidi w:val="0"/>
        <w:spacing w:line="360" w:lineRule="auto"/>
        <w:ind w:firstLineChars="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在标准起草方面，更是起草多项粉末冶金标准，在材料标准、试验标准方法方面具有丰富的经验。团队技术负责人起草了GB/T 1482《金属粉末 流动性的测定 标准漏斗法(霍尔流速计)》、GB/T 6925《烧结金属材料室温压缩强度的测定》、GB/T 7964《烧结金属材料（不包括硬质合金）室温拉伸试验》等相关粉末国家标准，参与起草了20余项国家标准，对标准制定拥有丰富的经验。</w:t>
      </w: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各参编单位及标准主要起草人分工见表1。</w:t>
      </w: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rPr>
      </w:pP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rPr>
      </w:pP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rPr>
      </w:pP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rPr>
      </w:pPr>
    </w:p>
    <w:p>
      <w:pPr>
        <w:keepNext w:val="0"/>
        <w:keepLines w:val="0"/>
        <w:pageBreakBefore w:val="0"/>
        <w:wordWrap/>
        <w:overflowPunct/>
        <w:topLinePunct w:val="0"/>
        <w:bidi w:val="0"/>
        <w:spacing w:line="360" w:lineRule="auto"/>
        <w:ind w:firstLine="480"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表1 参编单位及分工</w:t>
      </w:r>
    </w:p>
    <w:tbl>
      <w:tblPr>
        <w:tblStyle w:val="6"/>
        <w:tblW w:w="49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309"/>
        <w:gridCol w:w="3224"/>
        <w:gridCol w:w="3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78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主要起草人</w:t>
            </w:r>
          </w:p>
        </w:tc>
        <w:tc>
          <w:tcPr>
            <w:tcW w:w="192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参编单位</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bookmarkStart w:id="0" w:name="_Hlk131150342"/>
            <w:r>
              <w:rPr>
                <w:rFonts w:hint="default" w:ascii="Times New Roman" w:hAnsi="Times New Roman" w:eastAsia="宋体" w:cs="Times New Roman"/>
                <w:color w:val="auto"/>
                <w:sz w:val="21"/>
                <w:szCs w:val="21"/>
              </w:rPr>
              <w:t>1</w:t>
            </w:r>
          </w:p>
        </w:tc>
        <w:tc>
          <w:tcPr>
            <w:tcW w:w="783"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曲</w:t>
            </w:r>
            <w:r>
              <w:rPr>
                <w:rFonts w:hint="default" w:ascii="Times New Roman" w:hAnsi="Times New Roman" w:cs="Times New Roman"/>
                <w:color w:val="auto"/>
                <w:sz w:val="21"/>
                <w:szCs w:val="21"/>
                <w:lang w:val="en-US" w:eastAsia="zh-CN"/>
              </w:rPr>
              <w:t>敬</w:t>
            </w:r>
            <w:r>
              <w:rPr>
                <w:rFonts w:hint="default" w:ascii="Times New Roman" w:hAnsi="Times New Roman" w:cs="Times New Roman"/>
                <w:color w:val="auto"/>
                <w:sz w:val="21"/>
                <w:szCs w:val="21"/>
              </w:rPr>
              <w:t>龙</w:t>
            </w:r>
          </w:p>
        </w:tc>
        <w:tc>
          <w:tcPr>
            <w:tcW w:w="192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北京钢研高纳科技股份有限公司</w:t>
            </w: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rPr>
              <w:t>四川钢研高纳锻造有限责任公司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负责调研、验证、标准起草全过程</w:t>
            </w:r>
            <w:r>
              <w:rPr>
                <w:rFonts w:hint="eastAsia" w:ascii="Times New Roman" w:hAnsi="Times New Roman" w:eastAsia="宋体" w:cs="Times New Roman"/>
                <w:color w:val="auto"/>
                <w:sz w:val="21"/>
                <w:szCs w:val="21"/>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783"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新巴雅尔</w:t>
            </w:r>
          </w:p>
        </w:tc>
        <w:tc>
          <w:tcPr>
            <w:tcW w:w="192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内蒙古工业大学</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负责标准调研、验证</w:t>
            </w:r>
            <w:r>
              <w:rPr>
                <w:rFonts w:hint="default" w:ascii="Times New Roman" w:hAnsi="Times New Roman" w:eastAsia="宋体" w:cs="Times New Roman"/>
                <w:color w:val="auto"/>
                <w:sz w:val="21"/>
                <w:szCs w:val="21"/>
                <w:lang w:val="en-US" w:eastAsia="zh-CN"/>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783"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罗志强</w:t>
            </w:r>
          </w:p>
        </w:tc>
        <w:tc>
          <w:tcPr>
            <w:tcW w:w="192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北京钢研高纳科技股份有限公司</w:t>
            </w: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rPr>
              <w:t>四川钢研高纳锻造有限责任公司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负责全过程的标准编制、审核、协调工作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jc w:val="center"/>
        </w:trPr>
        <w:tc>
          <w:tcPr>
            <w:tcW w:w="43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783"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张筱萌</w:t>
            </w:r>
          </w:p>
        </w:tc>
        <w:tc>
          <w:tcPr>
            <w:tcW w:w="192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北京钢研高纳科技股份有限公司</w:t>
            </w: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rPr>
              <w:t>四川钢研高纳锻造有限责任公司</w:t>
            </w:r>
          </w:p>
        </w:tc>
        <w:tc>
          <w:tcPr>
            <w:tcW w:w="18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参与标准起草，提供相关验证</w:t>
            </w:r>
          </w:p>
        </w:tc>
      </w:tr>
      <w:bookmarkEnd w:id="0"/>
    </w:tbl>
    <w:p>
      <w:pPr>
        <w:pStyle w:val="14"/>
        <w:keepNext w:val="0"/>
        <w:keepLines w:val="0"/>
        <w:pageBreakBefore w:val="0"/>
        <w:wordWrap/>
        <w:overflowPunct/>
        <w:topLinePunct w:val="0"/>
        <w:bidi w:val="0"/>
        <w:spacing w:line="360" w:lineRule="auto"/>
        <w:rPr>
          <w:rFonts w:hint="default" w:ascii="Times New Roman" w:hAnsi="Times New Roman" w:cs="Times New Roman"/>
          <w:color w:val="auto"/>
          <w:sz w:val="24"/>
          <w:szCs w:val="24"/>
          <w:lang w:val="en-US" w:eastAsia="zh-CN"/>
        </w:rPr>
      </w:pPr>
    </w:p>
    <w:p>
      <w:pPr>
        <w:pStyle w:val="14"/>
        <w:keepNext w:val="0"/>
        <w:keepLines w:val="0"/>
        <w:pageBreakBefore w:val="0"/>
        <w:numPr>
          <w:ilvl w:val="0"/>
          <w:numId w:val="0"/>
        </w:numPr>
        <w:wordWrap/>
        <w:overflowPunct/>
        <w:topLinePunct w:val="0"/>
        <w:bidi w:val="0"/>
        <w:spacing w:line="360" w:lineRule="auto"/>
        <w:ind w:firstLine="482" w:firstLineChars="200"/>
        <w:rPr>
          <w:rFonts w:hint="default" w:ascii="Times New Roman" w:hAnsi="Times New Roman" w:cs="Times New Roman"/>
          <w:b/>
          <w:bCs/>
          <w:color w:val="auto"/>
          <w:sz w:val="24"/>
          <w:szCs w:val="24"/>
        </w:rPr>
      </w:pPr>
      <w:r>
        <w:rPr>
          <w:rFonts w:hint="eastAsia" w:ascii="Times New Roman" w:hAnsi="Times New Roman" w:cs="Times New Roman"/>
          <w:b/>
          <w:bCs/>
          <w:color w:val="auto"/>
          <w:sz w:val="24"/>
          <w:szCs w:val="24"/>
          <w:lang w:val="en-US" w:eastAsia="zh-CN"/>
        </w:rPr>
        <w:t xml:space="preserve">1.3 </w:t>
      </w:r>
      <w:r>
        <w:rPr>
          <w:rFonts w:hint="default" w:ascii="Times New Roman" w:hAnsi="Times New Roman" w:cs="Times New Roman"/>
          <w:b/>
          <w:bCs/>
          <w:color w:val="auto"/>
          <w:sz w:val="24"/>
          <w:szCs w:val="24"/>
        </w:rPr>
        <w:t>制修订标准的主要工作过程；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lang w:val="en-US" w:eastAsia="zh-CN"/>
        </w:rPr>
        <w:t>3.1</w:t>
      </w:r>
      <w:r>
        <w:rPr>
          <w:rFonts w:hint="default" w:ascii="Times New Roman" w:hAnsi="Times New Roman" w:eastAsia="宋体" w:cs="Times New Roman"/>
          <w:b/>
          <w:bCs/>
          <w:color w:val="auto"/>
          <w:sz w:val="24"/>
          <w:szCs w:val="24"/>
        </w:rPr>
        <w:t xml:space="preserve"> 起草阶段</w:t>
      </w:r>
    </w:p>
    <w:p>
      <w:pPr>
        <w:pStyle w:val="2"/>
        <w:keepNext w:val="0"/>
        <w:keepLines w:val="0"/>
        <w:pageBreakBefore w:val="0"/>
        <w:wordWrap/>
        <w:overflowPunct/>
        <w:topLinePunct w:val="0"/>
        <w:bidi w:val="0"/>
        <w:spacing w:line="360" w:lineRule="auto"/>
        <w:ind w:firstLine="480" w:firstLineChars="200"/>
        <w:rPr>
          <w:rFonts w:hint="default" w:ascii="Times New Roman" w:hAnsi="Times New Roman" w:eastAsia="宋体" w:cs="Times New Roman"/>
          <w:b w:val="0"/>
          <w:bCs w:val="0"/>
          <w:color w:val="auto"/>
          <w:kern w:val="2"/>
          <w:sz w:val="24"/>
          <w:szCs w:val="24"/>
        </w:rPr>
      </w:pPr>
      <w:r>
        <w:rPr>
          <w:rFonts w:hint="default" w:ascii="Times New Roman" w:hAnsi="Times New Roman" w:eastAsia="宋体" w:cs="Times New Roman"/>
          <w:b w:val="0"/>
          <w:bCs w:val="0"/>
          <w:color w:val="auto"/>
          <w:kern w:val="2"/>
          <w:sz w:val="24"/>
          <w:szCs w:val="24"/>
        </w:rPr>
        <w:t>根据《</w:t>
      </w:r>
      <w:r>
        <w:rPr>
          <w:rFonts w:hint="default" w:ascii="Times New Roman" w:hAnsi="Times New Roman" w:eastAsia="宋体" w:cs="Times New Roman"/>
          <w:b w:val="0"/>
          <w:bCs w:val="0"/>
          <w:color w:val="auto"/>
          <w:kern w:val="2"/>
          <w:sz w:val="24"/>
          <w:szCs w:val="24"/>
          <w:lang w:val="en-US" w:eastAsia="zh-CN"/>
        </w:rPr>
        <w:t>XX</w:t>
      </w:r>
      <w:r>
        <w:rPr>
          <w:rFonts w:hint="default" w:ascii="Times New Roman" w:hAnsi="Times New Roman" w:eastAsia="宋体" w:cs="Times New Roman"/>
          <w:b w:val="0"/>
          <w:bCs w:val="0"/>
          <w:color w:val="auto"/>
          <w:kern w:val="2"/>
          <w:sz w:val="24"/>
          <w:szCs w:val="24"/>
        </w:rPr>
        <w:t>计划的通知》（</w:t>
      </w:r>
      <w:r>
        <w:rPr>
          <w:rFonts w:hint="default" w:ascii="Times New Roman" w:hAnsi="Times New Roman" w:eastAsia="宋体" w:cs="Times New Roman"/>
          <w:b w:val="0"/>
          <w:bCs w:val="0"/>
          <w:color w:val="auto"/>
          <w:kern w:val="2"/>
          <w:sz w:val="24"/>
          <w:szCs w:val="24"/>
          <w:lang w:val="en-US" w:eastAsia="zh-CN"/>
        </w:rPr>
        <w:t>XX</w:t>
      </w:r>
      <w:r>
        <w:rPr>
          <w:rFonts w:hint="default" w:ascii="Times New Roman" w:hAnsi="Times New Roman" w:eastAsia="宋体" w:cs="Times New Roman"/>
          <w:b w:val="0"/>
          <w:bCs w:val="0"/>
          <w:color w:val="auto"/>
          <w:kern w:val="2"/>
          <w:sz w:val="24"/>
          <w:szCs w:val="24"/>
        </w:rPr>
        <w:t>发[202</w:t>
      </w:r>
      <w:r>
        <w:rPr>
          <w:rFonts w:hint="default" w:ascii="Times New Roman" w:hAnsi="Times New Roman" w:eastAsia="宋体" w:cs="Times New Roman"/>
          <w:b w:val="0"/>
          <w:bCs w:val="0"/>
          <w:color w:val="auto"/>
          <w:kern w:val="2"/>
          <w:sz w:val="24"/>
          <w:szCs w:val="24"/>
          <w:lang w:val="en-US" w:eastAsia="zh-CN"/>
        </w:rPr>
        <w:t>4</w:t>
      </w:r>
      <w:r>
        <w:rPr>
          <w:rFonts w:hint="default" w:ascii="Times New Roman" w:hAnsi="Times New Roman" w:eastAsia="宋体" w:cs="Times New Roman"/>
          <w:b w:val="0"/>
          <w:bCs w:val="0"/>
          <w:color w:val="auto"/>
          <w:kern w:val="2"/>
          <w:sz w:val="24"/>
          <w:szCs w:val="24"/>
        </w:rPr>
        <w:t>]</w:t>
      </w:r>
      <w:r>
        <w:rPr>
          <w:rFonts w:hint="default" w:ascii="Times New Roman" w:hAnsi="Times New Roman" w:eastAsia="宋体" w:cs="Times New Roman"/>
          <w:b w:val="0"/>
          <w:bCs w:val="0"/>
          <w:color w:val="auto"/>
          <w:kern w:val="2"/>
          <w:sz w:val="24"/>
          <w:szCs w:val="24"/>
          <w:lang w:val="en-US" w:eastAsia="zh-CN"/>
        </w:rPr>
        <w:t>X</w:t>
      </w:r>
      <w:r>
        <w:rPr>
          <w:rFonts w:hint="default" w:ascii="Times New Roman" w:hAnsi="Times New Roman" w:eastAsia="宋体" w:cs="Times New Roman"/>
          <w:b w:val="0"/>
          <w:bCs w:val="0"/>
          <w:color w:val="auto"/>
          <w:kern w:val="2"/>
          <w:sz w:val="24"/>
          <w:szCs w:val="24"/>
        </w:rPr>
        <w:t>号）文的计划要求，本标准于202</w:t>
      </w:r>
      <w:r>
        <w:rPr>
          <w:rFonts w:hint="default" w:ascii="Times New Roman" w:hAnsi="Times New Roman" w:eastAsia="宋体" w:cs="Times New Roman"/>
          <w:b w:val="0"/>
          <w:bCs w:val="0"/>
          <w:color w:val="auto"/>
          <w:kern w:val="2"/>
          <w:sz w:val="24"/>
          <w:szCs w:val="24"/>
          <w:lang w:val="en-US" w:eastAsia="zh-CN"/>
        </w:rPr>
        <w:t>4</w:t>
      </w:r>
      <w:r>
        <w:rPr>
          <w:rFonts w:hint="default" w:ascii="Times New Roman" w:hAnsi="Times New Roman" w:eastAsia="宋体" w:cs="Times New Roman"/>
          <w:b w:val="0"/>
          <w:bCs w:val="0"/>
          <w:color w:val="auto"/>
          <w:kern w:val="2"/>
          <w:sz w:val="24"/>
          <w:szCs w:val="24"/>
        </w:rPr>
        <w:t>年</w:t>
      </w:r>
      <w:r>
        <w:rPr>
          <w:rFonts w:hint="default" w:ascii="Times New Roman" w:hAnsi="Times New Roman" w:eastAsia="宋体" w:cs="Times New Roman"/>
          <w:b w:val="0"/>
          <w:bCs w:val="0"/>
          <w:color w:val="auto"/>
          <w:kern w:val="2"/>
          <w:sz w:val="24"/>
          <w:szCs w:val="24"/>
          <w:lang w:val="en-US" w:eastAsia="zh-CN"/>
        </w:rPr>
        <w:t>6</w:t>
      </w:r>
      <w:r>
        <w:rPr>
          <w:rFonts w:hint="default" w:ascii="Times New Roman" w:hAnsi="Times New Roman" w:eastAsia="宋体" w:cs="Times New Roman"/>
          <w:b w:val="0"/>
          <w:bCs w:val="0"/>
          <w:color w:val="auto"/>
          <w:kern w:val="2"/>
          <w:sz w:val="24"/>
          <w:szCs w:val="24"/>
        </w:rPr>
        <w:t>月</w:t>
      </w:r>
      <w:r>
        <w:rPr>
          <w:rFonts w:hint="default" w:ascii="Times New Roman" w:hAnsi="Times New Roman" w:eastAsia="宋体" w:cs="Times New Roman"/>
          <w:b w:val="0"/>
          <w:bCs w:val="0"/>
          <w:color w:val="auto"/>
          <w:kern w:val="2"/>
          <w:sz w:val="24"/>
          <w:szCs w:val="24"/>
          <w:lang w:val="en-US" w:eastAsia="zh-CN"/>
        </w:rPr>
        <w:t>X</w:t>
      </w:r>
      <w:r>
        <w:rPr>
          <w:rFonts w:hint="default" w:ascii="Times New Roman" w:hAnsi="Times New Roman" w:eastAsia="宋体" w:cs="Times New Roman"/>
          <w:b w:val="0"/>
          <w:bCs w:val="0"/>
          <w:color w:val="auto"/>
          <w:kern w:val="2"/>
          <w:sz w:val="24"/>
          <w:szCs w:val="24"/>
        </w:rPr>
        <w:t>日在</w:t>
      </w:r>
      <w:r>
        <w:rPr>
          <w:rFonts w:hint="default" w:ascii="Times New Roman" w:hAnsi="Times New Roman" w:eastAsia="宋体" w:cs="Times New Roman"/>
          <w:b w:val="0"/>
          <w:bCs w:val="0"/>
          <w:color w:val="auto"/>
          <w:kern w:val="2"/>
          <w:sz w:val="24"/>
          <w:szCs w:val="24"/>
          <w:lang w:val="en-US" w:eastAsia="zh-CN"/>
        </w:rPr>
        <w:t>北京</w:t>
      </w:r>
      <w:r>
        <w:rPr>
          <w:rFonts w:hint="default" w:ascii="Times New Roman" w:hAnsi="Times New Roman" w:eastAsia="宋体" w:cs="Times New Roman"/>
          <w:b w:val="0"/>
          <w:bCs w:val="0"/>
          <w:color w:val="auto"/>
          <w:kern w:val="2"/>
          <w:sz w:val="24"/>
          <w:szCs w:val="24"/>
        </w:rPr>
        <w:t>市进行了任务落实，</w:t>
      </w:r>
      <w:r>
        <w:rPr>
          <w:rFonts w:hint="default" w:ascii="Times New Roman" w:hAnsi="Times New Roman" w:eastAsia="宋体" w:cs="Times New Roman"/>
          <w:b w:val="0"/>
          <w:bCs w:val="0"/>
          <w:color w:val="auto"/>
          <w:kern w:val="2"/>
          <w:sz w:val="24"/>
          <w:szCs w:val="24"/>
          <w:lang w:val="en-US" w:eastAsia="zh-CN"/>
        </w:rPr>
        <w:t>北京钢研高纳</w:t>
      </w:r>
      <w:r>
        <w:rPr>
          <w:rFonts w:hint="default" w:ascii="Times New Roman" w:hAnsi="Times New Roman" w:eastAsia="宋体" w:cs="Times New Roman"/>
          <w:b w:val="0"/>
          <w:bCs w:val="0"/>
          <w:color w:val="auto"/>
          <w:kern w:val="2"/>
          <w:sz w:val="24"/>
          <w:szCs w:val="24"/>
        </w:rPr>
        <w:t>科技股份有限公司立即成立了标准编制工作组，对目标任务进行分解，明确成员的任务要求，制定工作计划和进度安排。项目运行以来，项目组积极收集国内外</w:t>
      </w:r>
      <w:r>
        <w:rPr>
          <w:rFonts w:hint="default" w:ascii="Times New Roman" w:hAnsi="Times New Roman" w:eastAsia="宋体" w:cs="Times New Roman"/>
          <w:b w:val="0"/>
          <w:bCs w:val="0"/>
          <w:color w:val="auto"/>
          <w:kern w:val="2"/>
          <w:sz w:val="24"/>
          <w:szCs w:val="24"/>
          <w:lang w:val="en-US" w:eastAsia="zh-CN"/>
        </w:rPr>
        <w:t>增材制造用GH4738</w:t>
      </w:r>
      <w:r>
        <w:rPr>
          <w:rFonts w:hint="eastAsia" w:cs="Times New Roman"/>
          <w:b w:val="0"/>
          <w:bCs w:val="0"/>
          <w:color w:val="auto"/>
          <w:kern w:val="2"/>
          <w:sz w:val="24"/>
          <w:szCs w:val="24"/>
          <w:lang w:val="en-US" w:eastAsia="zh-CN"/>
        </w:rPr>
        <w:t>合金粉末</w:t>
      </w:r>
      <w:r>
        <w:rPr>
          <w:rFonts w:hint="default" w:ascii="Times New Roman" w:hAnsi="Times New Roman" w:eastAsia="宋体" w:cs="Times New Roman"/>
          <w:b w:val="0"/>
          <w:bCs w:val="0"/>
          <w:color w:val="auto"/>
          <w:kern w:val="2"/>
          <w:sz w:val="24"/>
          <w:szCs w:val="24"/>
        </w:rPr>
        <w:t>的生产及应用信息，收集</w:t>
      </w:r>
      <w:r>
        <w:rPr>
          <w:rFonts w:hint="default" w:ascii="Times New Roman" w:hAnsi="Times New Roman" w:eastAsia="宋体" w:cs="Times New Roman"/>
          <w:b w:val="0"/>
          <w:bCs w:val="0"/>
          <w:color w:val="auto"/>
          <w:kern w:val="2"/>
          <w:sz w:val="24"/>
          <w:szCs w:val="24"/>
          <w:lang w:val="en-US" w:eastAsia="zh-CN"/>
        </w:rPr>
        <w:t>增材制造用GH4738</w:t>
      </w:r>
      <w:r>
        <w:rPr>
          <w:rFonts w:hint="eastAsia" w:cs="Times New Roman"/>
          <w:b w:val="0"/>
          <w:bCs w:val="0"/>
          <w:color w:val="auto"/>
          <w:kern w:val="2"/>
          <w:sz w:val="24"/>
          <w:szCs w:val="24"/>
          <w:lang w:val="en-US" w:eastAsia="zh-CN"/>
        </w:rPr>
        <w:t>合金粉末</w:t>
      </w:r>
      <w:r>
        <w:rPr>
          <w:rFonts w:hint="default" w:ascii="Times New Roman" w:hAnsi="Times New Roman" w:eastAsia="宋体" w:cs="Times New Roman"/>
          <w:b w:val="0"/>
          <w:bCs w:val="0"/>
          <w:color w:val="auto"/>
          <w:kern w:val="2"/>
          <w:sz w:val="24"/>
          <w:szCs w:val="24"/>
        </w:rPr>
        <w:t>的生产、检验数据，调研国内外</w:t>
      </w:r>
      <w:r>
        <w:rPr>
          <w:rFonts w:hint="default" w:ascii="Times New Roman" w:hAnsi="Times New Roman" w:eastAsia="宋体" w:cs="Times New Roman"/>
          <w:b w:val="0"/>
          <w:bCs w:val="0"/>
          <w:color w:val="auto"/>
          <w:kern w:val="2"/>
          <w:sz w:val="24"/>
          <w:szCs w:val="24"/>
          <w:lang w:val="en-US" w:eastAsia="zh-CN"/>
        </w:rPr>
        <w:t>增材制造用GH4738</w:t>
      </w:r>
      <w:r>
        <w:rPr>
          <w:rFonts w:hint="eastAsia" w:cs="Times New Roman"/>
          <w:b w:val="0"/>
          <w:bCs w:val="0"/>
          <w:color w:val="auto"/>
          <w:kern w:val="2"/>
          <w:sz w:val="24"/>
          <w:szCs w:val="24"/>
          <w:lang w:val="en-US" w:eastAsia="zh-CN"/>
        </w:rPr>
        <w:t>合金粉末</w:t>
      </w:r>
      <w:r>
        <w:rPr>
          <w:rFonts w:hint="default" w:ascii="Times New Roman" w:hAnsi="Times New Roman" w:eastAsia="宋体" w:cs="Times New Roman"/>
          <w:b w:val="0"/>
          <w:bCs w:val="0"/>
          <w:color w:val="auto"/>
          <w:kern w:val="2"/>
          <w:sz w:val="24"/>
          <w:szCs w:val="24"/>
        </w:rPr>
        <w:t>的科研单位、生产企业的基本情况，并对各类信息进行分析汇总，于202</w:t>
      </w:r>
      <w:r>
        <w:rPr>
          <w:rFonts w:hint="default" w:ascii="Times New Roman" w:hAnsi="Times New Roman" w:eastAsia="宋体" w:cs="Times New Roman"/>
          <w:b w:val="0"/>
          <w:bCs w:val="0"/>
          <w:color w:val="auto"/>
          <w:kern w:val="2"/>
          <w:sz w:val="24"/>
          <w:szCs w:val="24"/>
          <w:lang w:val="en-US" w:eastAsia="zh-CN"/>
        </w:rPr>
        <w:t>4</w:t>
      </w:r>
      <w:r>
        <w:rPr>
          <w:rFonts w:hint="default" w:ascii="Times New Roman" w:hAnsi="Times New Roman" w:eastAsia="宋体" w:cs="Times New Roman"/>
          <w:b w:val="0"/>
          <w:bCs w:val="0"/>
          <w:color w:val="auto"/>
          <w:kern w:val="2"/>
          <w:sz w:val="24"/>
          <w:szCs w:val="24"/>
        </w:rPr>
        <w:t>年0</w:t>
      </w:r>
      <w:r>
        <w:rPr>
          <w:rFonts w:hint="default" w:ascii="Times New Roman" w:hAnsi="Times New Roman" w:eastAsia="宋体" w:cs="Times New Roman"/>
          <w:b w:val="0"/>
          <w:bCs w:val="0"/>
          <w:color w:val="auto"/>
          <w:kern w:val="2"/>
          <w:sz w:val="24"/>
          <w:szCs w:val="24"/>
          <w:lang w:val="en-US" w:eastAsia="zh-CN"/>
        </w:rPr>
        <w:t>7</w:t>
      </w:r>
      <w:r>
        <w:rPr>
          <w:rFonts w:hint="default" w:ascii="Times New Roman" w:hAnsi="Times New Roman" w:eastAsia="宋体" w:cs="Times New Roman"/>
          <w:b w:val="0"/>
          <w:bCs w:val="0"/>
          <w:color w:val="auto"/>
          <w:kern w:val="2"/>
          <w:sz w:val="24"/>
          <w:szCs w:val="24"/>
        </w:rPr>
        <w:t>月完成标准征求意见稿。</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1.3</w:t>
      </w:r>
      <w:r>
        <w:rPr>
          <w:rFonts w:hint="default" w:ascii="Times New Roman" w:hAnsi="Times New Roman" w:eastAsia="宋体" w:cs="Times New Roman"/>
          <w:b/>
          <w:bCs/>
          <w:color w:val="auto"/>
          <w:sz w:val="24"/>
          <w:szCs w:val="24"/>
        </w:rPr>
        <w:t>.2 征求意见阶段</w:t>
      </w:r>
    </w:p>
    <w:p>
      <w:pPr>
        <w:keepNext w:val="0"/>
        <w:keepLines w:val="0"/>
        <w:pageBreakBefore w:val="0"/>
        <w:wordWrap/>
        <w:overflowPunct/>
        <w:topLinePunct w:val="0"/>
        <w:bidi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lang w:val="en-US" w:eastAsia="zh-CN"/>
        </w:rPr>
        <w:t>X</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lang w:val="en-US" w:eastAsia="zh-CN"/>
        </w:rPr>
        <w:t>X</w:t>
      </w:r>
      <w:r>
        <w:rPr>
          <w:rFonts w:hint="default" w:ascii="Times New Roman" w:hAnsi="Times New Roman" w:eastAsia="宋体" w:cs="Times New Roman"/>
          <w:color w:val="auto"/>
          <w:sz w:val="24"/>
          <w:szCs w:val="24"/>
        </w:rPr>
        <w:t>日至202</w:t>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lang w:val="en-US" w:eastAsia="zh-CN"/>
        </w:rPr>
        <w:t>X</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lang w:val="en-US" w:eastAsia="zh-CN"/>
        </w:rPr>
        <w:t>X</w:t>
      </w:r>
      <w:r>
        <w:rPr>
          <w:rFonts w:hint="default" w:ascii="Times New Roman" w:hAnsi="Times New Roman" w:eastAsia="宋体" w:cs="Times New Roman"/>
          <w:color w:val="auto"/>
          <w:sz w:val="24"/>
          <w:szCs w:val="24"/>
        </w:rPr>
        <w:t>日，由粉末冶金产业技术创新战略联盟主持，在</w:t>
      </w:r>
      <w:r>
        <w:rPr>
          <w:rFonts w:hint="default" w:ascii="Times New Roman" w:hAnsi="Times New Roman" w:eastAsia="宋体" w:cs="Times New Roman"/>
          <w:color w:val="auto"/>
          <w:sz w:val="24"/>
          <w:szCs w:val="24"/>
          <w:lang w:val="en-US" w:eastAsia="zh-CN"/>
        </w:rPr>
        <w:t>北京</w:t>
      </w:r>
      <w:r>
        <w:rPr>
          <w:rFonts w:hint="default" w:ascii="Times New Roman" w:hAnsi="Times New Roman" w:eastAsia="宋体" w:cs="Times New Roman"/>
          <w:color w:val="auto"/>
          <w:sz w:val="24"/>
          <w:szCs w:val="24"/>
        </w:rPr>
        <w:t>市召开了本标准的讨论会。来自</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公司等</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家单位</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位专家代表参加了会议。与会代表对本标准（征求意见稿）进行了认真、细致的讨论，提出了修改意见及建议。</w:t>
      </w:r>
    </w:p>
    <w:p>
      <w:pPr>
        <w:keepNext w:val="0"/>
        <w:keepLines w:val="0"/>
        <w:pageBreakBefore w:val="0"/>
        <w:wordWrap/>
        <w:overflowPunct/>
        <w:topLinePunct w:val="0"/>
        <w:bidi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2023年09月20日至2024年XX月XX日，粉末冶金产业技术创新战略联盟将征求意见资料在</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的“公共信息服务平台”上挂网，向社会公开征求意见。同时，粉末冶金产业技术创新战略联盟通过工作群、邮件向委员单位征求意见，并将征求意见资料在</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网站上挂网。征求意见的单位包括主要生产、经销、使用、科研、检验等单位及大专院校，征求意见单位广泛且具有代表性，征求意见时间大于</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个月。</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1.3</w:t>
      </w:r>
      <w:r>
        <w:rPr>
          <w:rFonts w:hint="default" w:ascii="Times New Roman" w:hAnsi="Times New Roman" w:eastAsia="宋体" w:cs="Times New Roman"/>
          <w:b/>
          <w:bCs/>
          <w:color w:val="auto"/>
          <w:sz w:val="24"/>
          <w:szCs w:val="24"/>
        </w:rPr>
        <w:t>.3 审查阶段</w:t>
      </w:r>
    </w:p>
    <w:p>
      <w:pPr>
        <w:keepNext w:val="0"/>
        <w:keepLines w:val="0"/>
        <w:pageBreakBefore w:val="0"/>
        <w:wordWrap/>
        <w:overflowPunct/>
        <w:topLinePunct w:val="0"/>
        <w:bidi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2024年XX月XX日至2024年XX月XX日，由粉末冶金产业技术创新战略联盟主持，在</w:t>
      </w:r>
      <w:r>
        <w:rPr>
          <w:rFonts w:hint="default" w:ascii="Times New Roman" w:hAnsi="Times New Roman" w:eastAsia="宋体" w:cs="Times New Roman"/>
          <w:color w:val="auto"/>
          <w:sz w:val="24"/>
          <w:szCs w:val="24"/>
          <w:lang w:val="en-US" w:eastAsia="zh-CN"/>
        </w:rPr>
        <w:t>北京</w:t>
      </w:r>
      <w:r>
        <w:rPr>
          <w:rFonts w:hint="default" w:ascii="Times New Roman" w:hAnsi="Times New Roman" w:eastAsia="宋体" w:cs="Times New Roman"/>
          <w:color w:val="auto"/>
          <w:sz w:val="24"/>
          <w:szCs w:val="24"/>
        </w:rPr>
        <w:t>市组织召开本标准审定会。来自XXX、XXX等XX家单位的XX余位专家代表参加了会议，见《</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审定会参加单位及代表签名》。会议对北京钢研高纳科技股份有限公司负责起草的</w:t>
      </w:r>
      <w:r>
        <w:rPr>
          <w:rFonts w:hint="default" w:ascii="Times New Roman" w:hAnsi="Times New Roman" w:eastAsia="宋体" w:cs="Times New Roman"/>
          <w:color w:val="auto"/>
          <w:sz w:val="24"/>
          <w:szCs w:val="24"/>
          <w:lang w:val="en-US" w:eastAsia="zh-CN"/>
        </w:rPr>
        <w:t>团体</w:t>
      </w:r>
      <w:r>
        <w:rPr>
          <w:rFonts w:hint="default" w:ascii="Times New Roman" w:hAnsi="Times New Roman" w:eastAsia="宋体" w:cs="Times New Roman"/>
          <w:color w:val="auto"/>
          <w:sz w:val="24"/>
          <w:szCs w:val="24"/>
        </w:rPr>
        <w:t>标准《</w:t>
      </w:r>
      <w:r>
        <w:rPr>
          <w:rFonts w:hint="default" w:ascii="Times New Roman" w:hAnsi="Times New Roman" w:cs="Times New Roman"/>
          <w:color w:val="auto"/>
          <w:sz w:val="24"/>
          <w:szCs w:val="24"/>
        </w:rPr>
        <w:t>增材制造 激光粉末床熔融用GH4738粉末</w:t>
      </w:r>
      <w:r>
        <w:rPr>
          <w:rFonts w:hint="default" w:ascii="Times New Roman" w:hAnsi="Times New Roman" w:eastAsia="宋体" w:cs="Times New Roman"/>
          <w:color w:val="auto"/>
          <w:sz w:val="24"/>
          <w:szCs w:val="24"/>
        </w:rPr>
        <w:t>》（送审稿）进行了认真细致的审定并提出修改意见，见《</w:t>
      </w:r>
      <w:r>
        <w:rPr>
          <w:rFonts w:hint="default" w:ascii="Times New Roman" w:hAnsi="Times New Roman" w:eastAsia="宋体" w:cs="Times New Roman"/>
          <w:color w:val="auto"/>
          <w:sz w:val="24"/>
          <w:szCs w:val="24"/>
          <w:lang w:val="en-US" w:eastAsia="zh-CN"/>
        </w:rPr>
        <w:t>团体</w:t>
      </w:r>
      <w:r>
        <w:rPr>
          <w:rFonts w:hint="default" w:ascii="Times New Roman" w:hAnsi="Times New Roman" w:eastAsia="宋体" w:cs="Times New Roman"/>
          <w:color w:val="auto"/>
          <w:sz w:val="24"/>
          <w:szCs w:val="24"/>
        </w:rPr>
        <w:t>标准审定会会议纪要》。标准编制组采纳了审定会意见，对标准送审稿进行了修改完善。</w:t>
      </w:r>
    </w:p>
    <w:p>
      <w:pPr>
        <w:keepNext w:val="0"/>
        <w:keepLines w:val="0"/>
        <w:pageBreakBefore w:val="0"/>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1.3</w:t>
      </w:r>
      <w:r>
        <w:rPr>
          <w:rFonts w:hint="default" w:ascii="Times New Roman" w:hAnsi="Times New Roman" w:eastAsia="宋体" w:cs="Times New Roman"/>
          <w:b/>
          <w:bCs/>
          <w:color w:val="auto"/>
          <w:sz w:val="24"/>
          <w:szCs w:val="24"/>
        </w:rPr>
        <w:t>.4 报批阶段</w:t>
      </w:r>
    </w:p>
    <w:p>
      <w:pPr>
        <w:keepNext w:val="0"/>
        <w:keepLines w:val="0"/>
        <w:pageBreakBefore w:val="0"/>
        <w:wordWrap/>
        <w:overflowPunct/>
        <w:topLinePunct w:val="0"/>
        <w:bidi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标准编制组对标准文本和编制说明进行修改完善，形成标准报批稿报送至粉末冶金产业技术创新战略联盟，现上报至</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审批、发布。</w:t>
      </w:r>
    </w:p>
    <w:p>
      <w:pPr>
        <w:pStyle w:val="14"/>
        <w:keepNext w:val="0"/>
        <w:keepLines w:val="0"/>
        <w:pageBreakBefore w:val="0"/>
        <w:numPr>
          <w:ilvl w:val="0"/>
          <w:numId w:val="0"/>
        </w:numPr>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委员投票情况：2024年XX月XX日至2024年XX月XX日，由粉末冶金产业技术创新战略联盟组织，在“</w:t>
      </w:r>
      <w:r>
        <w:rPr>
          <w:rFonts w:hint="default" w:ascii="Times New Roman" w:hAnsi="Times New Roman" w:eastAsia="宋体" w:cs="Times New Roman"/>
          <w:color w:val="auto"/>
          <w:sz w:val="24"/>
          <w:szCs w:val="24"/>
          <w:lang w:val="en-US" w:eastAsia="zh-CN"/>
        </w:rPr>
        <w:t>XX</w:t>
      </w:r>
      <w:r>
        <w:rPr>
          <w:rFonts w:hint="default" w:ascii="Times New Roman" w:hAnsi="Times New Roman" w:eastAsia="宋体" w:cs="Times New Roman"/>
          <w:color w:val="auto"/>
          <w:sz w:val="24"/>
          <w:szCs w:val="24"/>
        </w:rPr>
        <w:t>工作平台”进行了委员投票，本SC全体委员人数共有XX人，参与投票XX人，投票同意本标准通过审查XX人，其中，起草人员X人。</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rPr>
      </w:pPr>
      <w:r>
        <w:rPr>
          <w:rFonts w:hint="default" w:ascii="黑体" w:hAnsi="黑体" w:eastAsia="黑体" w:cs="黑体"/>
          <w:b w:val="0"/>
          <w:bCs w:val="0"/>
          <w:color w:val="auto"/>
          <w:kern w:val="2"/>
          <w:sz w:val="24"/>
          <w:szCs w:val="24"/>
          <w:lang w:val="en-US" w:eastAsia="zh-CN" w:bidi="ar-SA"/>
        </w:rPr>
        <w:t>二、标准编制原则和确定主要内容的论据及解决的主要问题</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2.1</w:t>
      </w:r>
      <w:r>
        <w:rPr>
          <w:rFonts w:hint="default" w:ascii="Times New Roman" w:hAnsi="Times New Roman" w:cs="Times New Roman"/>
          <w:b/>
          <w:color w:val="auto"/>
          <w:sz w:val="24"/>
          <w:szCs w:val="24"/>
          <w:lang w:val="en-US" w:eastAsia="zh-CN"/>
        </w:rPr>
        <w:t xml:space="preserve"> </w:t>
      </w:r>
      <w:r>
        <w:rPr>
          <w:rFonts w:hint="default" w:ascii="Times New Roman" w:hAnsi="Times New Roman" w:cs="Times New Roman"/>
          <w:b/>
          <w:color w:val="auto"/>
          <w:sz w:val="24"/>
          <w:szCs w:val="24"/>
        </w:rPr>
        <w:t>标准编制原则</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rPr>
        <w:t>1）</w:t>
      </w:r>
      <w:r>
        <w:rPr>
          <w:rFonts w:hint="default" w:ascii="Times New Roman" w:hAnsi="Times New Roman" w:cs="Times New Roman"/>
          <w:bCs/>
          <w:color w:val="auto"/>
          <w:sz w:val="24"/>
          <w:szCs w:val="24"/>
          <w:lang w:val="en-US" w:eastAsia="zh-CN"/>
        </w:rPr>
        <w:t>符合性</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本标准按照GB/T 1.1-2020《标准化工作导则 第1部分：标准化文件的结构和起草规则》给出的规则起草。</w:t>
      </w:r>
    </w:p>
    <w:p>
      <w:pPr>
        <w:pStyle w:val="14"/>
        <w:keepNext w:val="0"/>
        <w:keepLines w:val="0"/>
        <w:pageBreakBefore w:val="0"/>
        <w:numPr>
          <w:ilvl w:val="0"/>
          <w:numId w:val="2"/>
        </w:numPr>
        <w:wordWrap/>
        <w:overflowPunct/>
        <w:topLinePunct w:val="0"/>
        <w:bidi w:val="0"/>
        <w:spacing w:line="360" w:lineRule="auto"/>
        <w:ind w:firstLine="48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适用性</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本标准内容涉及增材制造 激光粉末床熔融用GH4738粉末的技术要求、试验方法、检验规则及标志、包装、运输、贮存、随行文件和订货单内容，确保技术要求的科学性和合理性。</w:t>
      </w:r>
    </w:p>
    <w:p>
      <w:pPr>
        <w:pStyle w:val="14"/>
        <w:keepNext w:val="0"/>
        <w:keepLines w:val="0"/>
        <w:pageBreakBefore w:val="0"/>
        <w:numPr>
          <w:ilvl w:val="0"/>
          <w:numId w:val="0"/>
        </w:numPr>
        <w:wordWrap/>
        <w:overflowPunct/>
        <w:topLinePunct w:val="0"/>
        <w:bidi w:val="0"/>
        <w:spacing w:line="360" w:lineRule="auto"/>
        <w:ind w:leftChars="200"/>
        <w:rPr>
          <w:rFonts w:hint="default" w:ascii="Times New Roman" w:hAnsi="Times New Roman" w:cs="Times New Roman"/>
          <w:b/>
          <w:bCs w:val="0"/>
          <w:color w:val="auto"/>
          <w:sz w:val="24"/>
          <w:szCs w:val="24"/>
          <w:lang w:val="en-US" w:eastAsia="zh-CN"/>
        </w:rPr>
      </w:pPr>
      <w:r>
        <w:rPr>
          <w:rFonts w:hint="eastAsia" w:ascii="Times New Roman" w:hAnsi="Times New Roman" w:cs="Times New Roman"/>
          <w:b/>
          <w:bCs w:val="0"/>
          <w:color w:val="auto"/>
          <w:sz w:val="24"/>
          <w:szCs w:val="24"/>
          <w:lang w:val="en-US" w:eastAsia="zh-CN"/>
        </w:rPr>
        <w:t>2.2 标准解决的主要问题</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cs="Times New Roman"/>
          <w:sz w:val="24"/>
          <w:szCs w:val="24"/>
          <w:shd w:val="clear" w:color="auto" w:fill="FFFFFF"/>
        </w:rPr>
      </w:pPr>
      <w:r>
        <w:rPr>
          <w:rFonts w:hint="default" w:ascii="Times New Roman" w:hAnsi="Times New Roman" w:cs="Times New Roman"/>
          <w:sz w:val="24"/>
          <w:szCs w:val="24"/>
          <w:shd w:val="clear" w:color="auto" w:fill="FFFFFF"/>
        </w:rPr>
        <w:t>3D 技术广泛应用在航空航天行业中的复杂、精密度高、批量小、可靠性强的零部件的制造。涡轮盘是航空发动机的核心部件，针对熔模铸造方法制造周期长、工艺复杂、成品率低等难题，基于 3D 打印工艺的涡轮盘快速制造技术极具重要的优势。作为发动机的热端关键部件的涡轮盘，工作时的环境温度可以达到 550-900℃。同时，航空飞机在起飞、降落，或者在风沙多发地区低空飞行时，其发动机前端吸入小粒径固体砂粒，导致涡轮盘受到高温冲蚀现象，而由于这些多种高温损伤的交互，使得涡轮盘的服役寿命往往远远低于预期设计寿命。</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cs="Times New Roman"/>
          <w:sz w:val="24"/>
          <w:szCs w:val="24"/>
          <w:shd w:val="clear" w:color="auto" w:fill="FFFFFF"/>
        </w:rPr>
      </w:pPr>
      <w:r>
        <w:rPr>
          <w:rFonts w:hint="default" w:ascii="Times New Roman" w:hAnsi="Times New Roman" w:cs="Times New Roman"/>
          <w:sz w:val="24"/>
          <w:szCs w:val="24"/>
          <w:shd w:val="clear" w:color="auto" w:fill="FFFFFF"/>
        </w:rPr>
        <w:t>本标准中提及的自主研制的高性能/高质量/低成本的专用微细球形GH4738合金粉末可有效提升涡轮盘高温磨损性能，一定程度上延长航空发动机涡轮盘在我国风沙多发地区服役寿命。</w:t>
      </w:r>
    </w:p>
    <w:p>
      <w:pPr>
        <w:pStyle w:val="14"/>
        <w:keepNext w:val="0"/>
        <w:keepLines w:val="0"/>
        <w:pageBreakBefore w:val="0"/>
        <w:numPr>
          <w:ilvl w:val="0"/>
          <w:numId w:val="0"/>
        </w:numPr>
        <w:wordWrap/>
        <w:overflowPunct/>
        <w:topLinePunct w:val="0"/>
        <w:bidi w:val="0"/>
        <w:spacing w:line="360" w:lineRule="auto"/>
        <w:ind w:firstLine="480" w:firstLineChars="200"/>
        <w:rPr>
          <w:rFonts w:hint="default" w:ascii="Times New Roman" w:hAnsi="Times New Roman" w:eastAsia="宋体" w:cs="Times New Roman"/>
          <w:sz w:val="24"/>
          <w:szCs w:val="24"/>
          <w:shd w:val="clear" w:color="auto" w:fill="FFFFFF"/>
          <w:lang w:val="en-US" w:eastAsia="zh-CN"/>
        </w:rPr>
      </w:pPr>
      <w:r>
        <w:rPr>
          <w:rFonts w:hint="default" w:ascii="Times New Roman" w:hAnsi="Times New Roman" w:eastAsia="宋体" w:cs="Times New Roman"/>
          <w:sz w:val="24"/>
          <w:szCs w:val="24"/>
          <w:highlight w:val="none"/>
        </w:rPr>
        <w:t>本文件是全新制定的标准，在国内</w:t>
      </w:r>
      <w:r>
        <w:rPr>
          <w:rFonts w:hint="default" w:ascii="Times New Roman" w:hAnsi="Times New Roman" w:eastAsia="宋体" w:cs="Times New Roman"/>
          <w:sz w:val="24"/>
          <w:szCs w:val="24"/>
          <w:highlight w:val="none"/>
          <w:lang w:val="en-US" w:eastAsia="zh-CN"/>
        </w:rPr>
        <w:t>增材制造</w:t>
      </w:r>
      <w:r>
        <w:rPr>
          <w:rFonts w:hint="default" w:ascii="Times New Roman" w:hAnsi="Times New Roman" w:eastAsia="宋体" w:cs="Times New Roman"/>
          <w:sz w:val="24"/>
          <w:szCs w:val="24"/>
          <w:highlight w:val="none"/>
        </w:rPr>
        <w:t>行业属于第一份</w:t>
      </w:r>
      <w:r>
        <w:rPr>
          <w:rFonts w:hint="default" w:ascii="Times New Roman" w:hAnsi="Times New Roman" w:eastAsia="宋体" w:cs="Times New Roman"/>
          <w:sz w:val="24"/>
          <w:szCs w:val="24"/>
          <w:highlight w:val="none"/>
          <w:lang w:val="en-US" w:eastAsia="zh-CN"/>
        </w:rPr>
        <w:t>GH4738合金</w:t>
      </w:r>
      <w:r>
        <w:rPr>
          <w:rFonts w:hint="eastAsia" w:ascii="Times New Roman" w:cs="Times New Roman"/>
          <w:sz w:val="24"/>
          <w:szCs w:val="24"/>
          <w:highlight w:val="none"/>
          <w:lang w:val="en-US" w:eastAsia="zh-CN"/>
        </w:rPr>
        <w:t>粉末</w:t>
      </w:r>
      <w:r>
        <w:rPr>
          <w:rFonts w:hint="default" w:ascii="Times New Roman" w:hAnsi="Times New Roman" w:eastAsia="宋体" w:cs="Times New Roman"/>
          <w:sz w:val="24"/>
          <w:szCs w:val="24"/>
          <w:highlight w:val="none"/>
          <w:lang w:val="en-US" w:eastAsia="zh-CN"/>
        </w:rPr>
        <w:t>团体标准。</w:t>
      </w:r>
    </w:p>
    <w:p>
      <w:pPr>
        <w:keepNext w:val="0"/>
        <w:keepLines w:val="0"/>
        <w:pageBreakBefore w:val="0"/>
        <w:wordWrap/>
        <w:overflowPunct/>
        <w:topLinePunct w:val="0"/>
        <w:bidi w:val="0"/>
        <w:spacing w:line="360" w:lineRule="auto"/>
        <w:ind w:firstLine="470" w:firstLineChars="196"/>
        <w:rPr>
          <w:rFonts w:hint="default" w:ascii="黑体" w:hAnsi="黑体" w:eastAsia="黑体" w:cs="黑体"/>
          <w:b w:val="0"/>
          <w:bCs w:val="0"/>
          <w:color w:val="auto"/>
          <w:sz w:val="24"/>
          <w:szCs w:val="24"/>
        </w:rPr>
      </w:pPr>
      <w:r>
        <w:rPr>
          <w:rFonts w:hint="default" w:ascii="黑体" w:hAnsi="黑体" w:eastAsia="黑体" w:cs="黑体"/>
          <w:b w:val="0"/>
          <w:bCs w:val="0"/>
          <w:color w:val="auto"/>
          <w:sz w:val="24"/>
          <w:szCs w:val="24"/>
        </w:rPr>
        <w:t>三、主要试验（或验证）情况分析</w:t>
      </w:r>
    </w:p>
    <w:p>
      <w:pPr>
        <w:keepNext w:val="0"/>
        <w:keepLines w:val="0"/>
        <w:pageBreakBefore w:val="0"/>
        <w:wordWrap/>
        <w:overflowPunct/>
        <w:topLinePunct w:val="0"/>
        <w:bidi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rPr>
        <w:t>.1</w:t>
      </w:r>
      <w:bookmarkStart w:id="1" w:name="_Toc493262384"/>
      <w:r>
        <w:rPr>
          <w:rFonts w:hint="default" w:ascii="Times New Roman" w:hAnsi="Times New Roman" w:cs="Times New Roman"/>
          <w:b/>
          <w:bCs/>
          <w:color w:val="auto"/>
          <w:sz w:val="24"/>
          <w:szCs w:val="24"/>
        </w:rPr>
        <w:t xml:space="preserve"> 化学成分</w:t>
      </w:r>
      <w:bookmarkEnd w:id="1"/>
    </w:p>
    <w:p>
      <w:pPr>
        <w:keepNext w:val="0"/>
        <w:keepLines w:val="0"/>
        <w:pageBreakBefore w:val="0"/>
        <w:wordWrap/>
        <w:overflowPunct/>
        <w:topLinePunct w:val="0"/>
        <w:bidi w:val="0"/>
        <w:snapToGrid w:val="0"/>
        <w:spacing w:line="360" w:lineRule="auto"/>
        <w:ind w:firstLine="480" w:firstLineChars="200"/>
        <w:rPr>
          <w:rFonts w:hint="default" w:ascii="Times New Roman" w:hAnsi="Times New Roman" w:cs="Times New Roman"/>
          <w:color w:val="auto"/>
          <w:sz w:val="24"/>
          <w:szCs w:val="24"/>
        </w:rPr>
      </w:pPr>
      <w:r>
        <w:rPr>
          <w:rFonts w:hint="eastAsia" w:cs="Times New Roman"/>
          <w:color w:val="auto"/>
          <w:sz w:val="24"/>
          <w:szCs w:val="24"/>
          <w:lang w:val="en-US" w:eastAsia="zh-CN"/>
        </w:rPr>
        <w:t>产品</w:t>
      </w:r>
      <w:r>
        <w:rPr>
          <w:rFonts w:hint="default" w:ascii="Times New Roman" w:hAnsi="Times New Roman" w:cs="Times New Roman"/>
          <w:color w:val="auto"/>
          <w:sz w:val="24"/>
          <w:szCs w:val="24"/>
        </w:rPr>
        <w:t>的化学成分应符合表</w:t>
      </w:r>
      <w:r>
        <w:rPr>
          <w:rFonts w:hint="eastAsia" w:cs="Times New Roman"/>
          <w:color w:val="auto"/>
          <w:sz w:val="24"/>
          <w:szCs w:val="24"/>
          <w:lang w:val="en-US" w:eastAsia="zh-CN"/>
        </w:rPr>
        <w:t>2</w:t>
      </w:r>
      <w:r>
        <w:rPr>
          <w:rFonts w:hint="default" w:ascii="Times New Roman" w:hAnsi="Times New Roman" w:cs="Times New Roman"/>
          <w:color w:val="auto"/>
          <w:sz w:val="24"/>
          <w:szCs w:val="24"/>
        </w:rPr>
        <w:t>的规定。</w:t>
      </w:r>
      <w:r>
        <w:rPr>
          <w:rFonts w:hint="eastAsia" w:cs="Times New Roman"/>
          <w:color w:val="auto"/>
          <w:sz w:val="24"/>
          <w:szCs w:val="24"/>
          <w:lang w:val="en-US" w:eastAsia="zh-CN"/>
        </w:rPr>
        <w:t>产品</w:t>
      </w:r>
      <w:r>
        <w:rPr>
          <w:rFonts w:hint="default" w:ascii="Times New Roman" w:hAnsi="Times New Roman" w:cs="Times New Roman"/>
          <w:color w:val="auto"/>
          <w:sz w:val="24"/>
          <w:szCs w:val="24"/>
        </w:rPr>
        <w:t>的化学成分按HB 20241(所有部分)的规定进行</w:t>
      </w:r>
      <w:r>
        <w:rPr>
          <w:rFonts w:hint="eastAsia" w:cs="Times New Roman"/>
          <w:color w:val="auto"/>
          <w:sz w:val="24"/>
          <w:szCs w:val="24"/>
          <w:lang w:eastAsia="zh-CN"/>
        </w:rPr>
        <w:t>，</w:t>
      </w:r>
      <w:r>
        <w:rPr>
          <w:rFonts w:hint="default" w:ascii="Times New Roman" w:hAnsi="Times New Roman" w:cs="Times New Roman"/>
          <w:color w:val="auto"/>
          <w:sz w:val="24"/>
          <w:szCs w:val="24"/>
        </w:rPr>
        <w:t>或按双方约定的试验标准进行，允许偏差符合GB/T 25829的规定。</w:t>
      </w:r>
    </w:p>
    <w:p>
      <w:pPr>
        <w:keepNext w:val="0"/>
        <w:keepLines w:val="0"/>
        <w:pageBreakBefore w:val="0"/>
        <w:wordWrap/>
        <w:overflowPunct/>
        <w:topLinePunct w:val="0"/>
        <w:bidi w:val="0"/>
        <w:spacing w:line="36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表</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化学成分</w:t>
      </w:r>
    </w:p>
    <w:tbl>
      <w:tblPr>
        <w:tblStyle w:val="6"/>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1136"/>
        <w:gridCol w:w="1121"/>
        <w:gridCol w:w="782"/>
        <w:gridCol w:w="1136"/>
        <w:gridCol w:w="981"/>
        <w:gridCol w:w="981"/>
        <w:gridCol w:w="997"/>
        <w:gridCol w:w="895"/>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113" w:type="dxa"/>
            <w:shd w:val="clear" w:color="auto" w:fill="auto"/>
            <w:noWrap w:val="0"/>
            <w:vAlign w:val="center"/>
          </w:tcPr>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6"/>
                <w:kern w:val="0"/>
                <w:sz w:val="21"/>
                <w:szCs w:val="21"/>
                <w:lang w:eastAsia="en-US"/>
              </w:rPr>
              <w:t>牌号</w:t>
            </w:r>
          </w:p>
        </w:tc>
        <w:tc>
          <w:tcPr>
            <w:tcW w:w="9100" w:type="dxa"/>
            <w:gridSpan w:val="9"/>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cs="Times New Roman"/>
                <w:snapToGrid w:val="0"/>
                <w:color w:val="auto"/>
                <w:spacing w:val="4"/>
                <w:kern w:val="0"/>
                <w:position w:val="10"/>
                <w:sz w:val="21"/>
                <w:szCs w:val="21"/>
              </w:rPr>
            </w:pPr>
            <w:r>
              <w:rPr>
                <w:rFonts w:hint="default" w:ascii="Times New Roman" w:hAnsi="Times New Roman" w:cs="Times New Roman"/>
                <w:snapToGrid w:val="0"/>
                <w:color w:val="auto"/>
                <w:spacing w:val="4"/>
                <w:kern w:val="0"/>
                <w:position w:val="10"/>
                <w:sz w:val="21"/>
                <w:szCs w:val="21"/>
              </w:rPr>
              <w:t>化学成分（质量分数）%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13" w:type="dxa"/>
            <w:vMerge w:val="restart"/>
            <w:shd w:val="clear" w:color="auto" w:fill="auto"/>
            <w:noWrap w:val="0"/>
            <w:vAlign w:val="center"/>
          </w:tcPr>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
                <w:kern w:val="0"/>
                <w:sz w:val="21"/>
                <w:szCs w:val="21"/>
                <w:lang w:eastAsia="en-US"/>
              </w:rPr>
              <w:t>GH4738</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C</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Cr</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Ni</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Co</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Mo</w:t>
            </w:r>
          </w:p>
        </w:tc>
        <w:tc>
          <w:tcPr>
            <w:tcW w:w="1015" w:type="dxa"/>
            <w:shd w:val="clear" w:color="auto" w:fill="auto"/>
            <w:noWrap w:val="0"/>
            <w:vAlign w:val="center"/>
          </w:tcPr>
          <w:p>
            <w:pPr>
              <w:keepNext w:val="0"/>
              <w:keepLines w:val="0"/>
              <w:pageBreakBefore w:val="0"/>
              <w:widowControl/>
              <w:tabs>
                <w:tab w:val="left" w:pos="555"/>
              </w:tabs>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Al</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Ti</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0"/>
                <w:kern w:val="0"/>
                <w:position w:val="14"/>
                <w:sz w:val="21"/>
                <w:szCs w:val="21"/>
                <w:lang w:eastAsia="en-US"/>
              </w:rPr>
              <w:t>Fe</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en-US" w:bidi="ar-SA"/>
              </w:rPr>
            </w:pPr>
            <w:r>
              <w:rPr>
                <w:rFonts w:hint="default" w:ascii="Times New Roman" w:hAnsi="Times New Roman" w:cs="Times New Roman"/>
                <w:snapToGrid w:val="0"/>
                <w:color w:val="auto"/>
                <w:spacing w:val="10"/>
                <w:kern w:val="0"/>
                <w:position w:val="14"/>
                <w:sz w:val="21"/>
                <w:szCs w:val="21"/>
                <w:lang w:eastAsia="en-US"/>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113" w:type="dxa"/>
            <w:vMerge w:val="continue"/>
            <w:shd w:val="clear" w:color="auto" w:fill="auto"/>
            <w:noWrap w:val="0"/>
            <w:vAlign w:val="center"/>
          </w:tcPr>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21"/>
                <w:szCs w:val="21"/>
              </w:rPr>
            </w:pP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0.03～0.10</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18.0～21.0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余量</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12.00～15.00</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3.50～5.00</w:t>
            </w:r>
          </w:p>
        </w:tc>
        <w:tc>
          <w:tcPr>
            <w:tcW w:w="1015" w:type="dxa"/>
            <w:shd w:val="clear" w:color="auto" w:fill="auto"/>
            <w:noWrap w:val="0"/>
            <w:vAlign w:val="center"/>
          </w:tcPr>
          <w:p>
            <w:pPr>
              <w:keepNext w:val="0"/>
              <w:keepLines w:val="0"/>
              <w:pageBreakBefore w:val="0"/>
              <w:widowControl/>
              <w:tabs>
                <w:tab w:val="left" w:pos="555"/>
              </w:tabs>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1.20～1.60</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2.75～3.25</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2"/>
                <w:kern w:val="0"/>
                <w:sz w:val="21"/>
                <w:szCs w:val="21"/>
                <w:lang w:eastAsia="en-US"/>
              </w:rPr>
              <w:t>≤2.00</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en-US" w:bidi="ar-SA"/>
              </w:rPr>
            </w:pPr>
            <w:r>
              <w:rPr>
                <w:rFonts w:hint="default" w:ascii="Times New Roman" w:hAnsi="Times New Roman" w:cs="Times New Roman"/>
                <w:snapToGrid w:val="0"/>
                <w:color w:val="auto"/>
                <w:spacing w:val="-2"/>
                <w:kern w:val="0"/>
                <w:sz w:val="21"/>
                <w:szCs w:val="21"/>
                <w:lang w:eastAsia="en-US"/>
              </w:rPr>
              <w:t>0.003～0.010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13"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批次1</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0.034</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19.56</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余</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13.48</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4.25</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1.48</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3.08</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0.13</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13"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批次2</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0.035</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19.50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余</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13.50</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4.25</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1.45</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3.05</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0.12</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13"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批次3</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0.034</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19.51</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余</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13.47</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4.25</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1.43</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3.06</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0.11</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13" w:type="dxa"/>
            <w:vMerge w:val="restart"/>
            <w:shd w:val="clear" w:color="auto" w:fill="auto"/>
            <w:noWrap w:val="0"/>
            <w:vAlign w:val="center"/>
          </w:tcPr>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21"/>
                <w:szCs w:val="21"/>
              </w:rPr>
            </w:pPr>
            <w:r>
              <w:rPr>
                <w:rFonts w:hint="default" w:ascii="Times New Roman" w:hAnsi="Times New Roman" w:cs="Times New Roman"/>
                <w:snapToGrid w:val="0"/>
                <w:color w:val="auto"/>
                <w:spacing w:val="-1"/>
                <w:kern w:val="0"/>
                <w:sz w:val="21"/>
                <w:szCs w:val="21"/>
                <w:lang w:eastAsia="en-US"/>
              </w:rPr>
              <w:t>GH4738</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10"/>
                <w:kern w:val="0"/>
                <w:position w:val="14"/>
                <w:sz w:val="21"/>
                <w:szCs w:val="21"/>
                <w:lang w:eastAsia="en-US"/>
              </w:rPr>
              <w:t>Zr</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10"/>
                <w:kern w:val="0"/>
                <w:position w:val="14"/>
                <w:sz w:val="21"/>
                <w:szCs w:val="21"/>
                <w:lang w:eastAsia="en-US"/>
              </w:rPr>
              <w:t>Si</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10"/>
                <w:kern w:val="0"/>
                <w:position w:val="14"/>
                <w:sz w:val="21"/>
                <w:szCs w:val="21"/>
                <w:lang w:eastAsia="en-US"/>
              </w:rPr>
              <w:t>Mn</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10"/>
                <w:kern w:val="0"/>
                <w:position w:val="14"/>
                <w:sz w:val="21"/>
                <w:szCs w:val="21"/>
                <w:lang w:eastAsia="en-US"/>
              </w:rPr>
              <w:t>P</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10"/>
                <w:kern w:val="0"/>
                <w:position w:val="14"/>
                <w:sz w:val="21"/>
                <w:szCs w:val="21"/>
                <w:lang w:eastAsia="en-US"/>
              </w:rPr>
              <w:t>S</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10"/>
                <w:kern w:val="0"/>
                <w:position w:val="14"/>
                <w:sz w:val="21"/>
                <w:szCs w:val="21"/>
                <w:lang w:eastAsia="en-US"/>
              </w:rPr>
              <w:t>Cu</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cs="Times New Roman"/>
                <w:snapToGrid w:val="0"/>
                <w:color w:val="auto"/>
                <w:spacing w:val="-2"/>
                <w:kern w:val="0"/>
                <w:sz w:val="21"/>
                <w:szCs w:val="21"/>
                <w:lang w:eastAsia="en-US"/>
              </w:rPr>
            </w:pPr>
            <w:r>
              <w:rPr>
                <w:rFonts w:hint="eastAsia" w:ascii="Times New Roman" w:hAnsi="Times New Roman" w:cs="Times New Roman"/>
                <w:snapToGrid w:val="0"/>
                <w:color w:val="auto"/>
                <w:spacing w:val="-2"/>
                <w:kern w:val="0"/>
                <w:sz w:val="21"/>
                <w:szCs w:val="21"/>
                <w:lang w:val="en-US" w:eastAsia="zh-CN"/>
              </w:rPr>
              <w:t>O</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cs="Times New Roman"/>
                <w:snapToGrid w:val="0"/>
                <w:color w:val="auto"/>
                <w:spacing w:val="-2"/>
                <w:kern w:val="0"/>
                <w:sz w:val="21"/>
                <w:szCs w:val="21"/>
                <w:lang w:eastAsia="zh-CN"/>
              </w:rPr>
            </w:pPr>
            <w:r>
              <w:rPr>
                <w:rFonts w:hint="eastAsia" w:ascii="Times New Roman" w:hAnsi="Times New Roman" w:cs="Times New Roman"/>
                <w:snapToGrid w:val="0"/>
                <w:color w:val="auto"/>
                <w:spacing w:val="-2"/>
                <w:kern w:val="0"/>
                <w:sz w:val="21"/>
                <w:szCs w:val="21"/>
                <w:lang w:val="en-US" w:eastAsia="zh-CN"/>
              </w:rPr>
              <w:t>N</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cs="Times New Roman"/>
                <w:snapToGrid w:val="0"/>
                <w:color w:val="auto"/>
                <w:spacing w:val="-2"/>
                <w:kern w:val="0"/>
                <w:sz w:val="21"/>
                <w:szCs w:val="21"/>
                <w:lang w:val="en-US" w:eastAsia="zh-CN"/>
              </w:rPr>
            </w:pPr>
            <w:r>
              <w:rPr>
                <w:rFonts w:hint="eastAsia" w:ascii="Times New Roman" w:hAnsi="Times New Roman" w:cs="Times New Roman"/>
                <w:snapToGrid w:val="0"/>
                <w:color w:val="auto"/>
                <w:spacing w:val="-2"/>
                <w:kern w:val="0"/>
                <w:sz w:val="21"/>
                <w:szCs w:val="21"/>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113" w:type="dxa"/>
            <w:vMerge w:val="continue"/>
            <w:shd w:val="clear" w:color="auto" w:fill="auto"/>
            <w:noWrap w:val="0"/>
            <w:vAlign w:val="center"/>
          </w:tcPr>
          <w:p>
            <w:pPr>
              <w:keepNext w:val="0"/>
              <w:keepLines w:val="0"/>
              <w:pageBreakBefore w:val="0"/>
              <w:wordWrap/>
              <w:overflowPunct/>
              <w:topLinePunct w:val="0"/>
              <w:bidi w:val="0"/>
              <w:spacing w:line="360" w:lineRule="auto"/>
              <w:jc w:val="center"/>
              <w:rPr>
                <w:rFonts w:hint="default" w:ascii="Times New Roman" w:hAnsi="Times New Roman" w:eastAsia="黑体" w:cs="Times New Roman"/>
                <w:color w:val="auto"/>
                <w:sz w:val="21"/>
                <w:szCs w:val="21"/>
              </w:rPr>
            </w:pP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2"/>
                <w:kern w:val="0"/>
                <w:sz w:val="21"/>
                <w:szCs w:val="21"/>
                <w:lang w:eastAsia="en-US"/>
              </w:rPr>
              <w:t>0.020～0.080</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2"/>
                <w:kern w:val="0"/>
                <w:sz w:val="21"/>
                <w:szCs w:val="21"/>
                <w:lang w:eastAsia="en-US"/>
              </w:rPr>
              <w:t>≤0.15</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2"/>
                <w:kern w:val="0"/>
                <w:sz w:val="21"/>
                <w:szCs w:val="21"/>
                <w:lang w:eastAsia="en-US"/>
              </w:rPr>
              <w:t>≤0.10</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2"/>
                <w:kern w:val="0"/>
                <w:sz w:val="21"/>
                <w:szCs w:val="21"/>
                <w:lang w:eastAsia="en-US"/>
              </w:rPr>
              <w:t>≤0.015</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2"/>
                <w:kern w:val="0"/>
                <w:sz w:val="21"/>
                <w:szCs w:val="21"/>
                <w:lang w:eastAsia="en-US"/>
              </w:rPr>
              <w:t>≤0.015</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黑体" w:cs="Times New Roman"/>
                <w:color w:val="auto"/>
                <w:kern w:val="2"/>
                <w:sz w:val="21"/>
                <w:szCs w:val="21"/>
                <w:lang w:val="en-US" w:eastAsia="zh-CN" w:bidi="ar-SA"/>
              </w:rPr>
            </w:pPr>
            <w:r>
              <w:rPr>
                <w:rFonts w:hint="default" w:ascii="Times New Roman" w:hAnsi="Times New Roman" w:cs="Times New Roman"/>
                <w:snapToGrid w:val="0"/>
                <w:color w:val="auto"/>
                <w:spacing w:val="-2"/>
                <w:kern w:val="0"/>
                <w:sz w:val="21"/>
                <w:szCs w:val="21"/>
                <w:lang w:eastAsia="en-US"/>
              </w:rPr>
              <w:t>≤0.100</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cs="Times New Roman"/>
                <w:snapToGrid w:val="0"/>
                <w:color w:val="auto"/>
                <w:spacing w:val="-2"/>
                <w:kern w:val="0"/>
                <w:sz w:val="21"/>
                <w:szCs w:val="21"/>
                <w:lang w:eastAsia="en-US"/>
              </w:rPr>
            </w:pPr>
            <w:r>
              <w:rPr>
                <w:rFonts w:hint="default" w:ascii="Times New Roman" w:hAnsi="Times New Roman" w:cs="Times New Roman"/>
                <w:snapToGrid w:val="0"/>
                <w:color w:val="auto"/>
                <w:spacing w:val="-2"/>
                <w:kern w:val="0"/>
                <w:sz w:val="21"/>
                <w:szCs w:val="21"/>
                <w:lang w:eastAsia="en-US"/>
              </w:rPr>
              <w:t>≤0.0</w:t>
            </w:r>
            <w:r>
              <w:rPr>
                <w:rFonts w:hint="eastAsia" w:ascii="Times New Roman" w:hAnsi="Times New Roman" w:cs="Times New Roman"/>
                <w:snapToGrid w:val="0"/>
                <w:color w:val="auto"/>
                <w:spacing w:val="-2"/>
                <w:kern w:val="0"/>
                <w:sz w:val="21"/>
                <w:szCs w:val="21"/>
                <w:lang w:val="en-US" w:eastAsia="zh-CN"/>
              </w:rPr>
              <w:t>180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cs="Times New Roman"/>
                <w:snapToGrid w:val="0"/>
                <w:color w:val="auto"/>
                <w:spacing w:val="-2"/>
                <w:kern w:val="0"/>
                <w:sz w:val="21"/>
                <w:szCs w:val="21"/>
                <w:lang w:eastAsia="en-US"/>
              </w:rPr>
            </w:pPr>
            <w:r>
              <w:rPr>
                <w:rFonts w:hint="default" w:ascii="Times New Roman" w:hAnsi="Times New Roman" w:cs="Times New Roman"/>
                <w:snapToGrid w:val="0"/>
                <w:color w:val="auto"/>
                <w:spacing w:val="-2"/>
                <w:kern w:val="0"/>
                <w:sz w:val="21"/>
                <w:szCs w:val="21"/>
                <w:lang w:eastAsia="en-US"/>
              </w:rPr>
              <w:t>≤0.0050</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w:t>
            </w:r>
            <w:r>
              <w:rPr>
                <w:rFonts w:hint="eastAsia" w:ascii="Times New Roman" w:hAnsi="Times New Roman" w:cs="Times New Roman"/>
                <w:snapToGrid w:val="0"/>
                <w:color w:val="auto"/>
                <w:spacing w:val="-2"/>
                <w:kern w:val="0"/>
                <w:sz w:val="21"/>
                <w:szCs w:val="21"/>
                <w:lang w:val="en-US" w:eastAsia="zh-CN"/>
              </w:rPr>
              <w:t>1</w:t>
            </w:r>
            <w:r>
              <w:rPr>
                <w:rFonts w:hint="default" w:ascii="Times New Roman" w:hAnsi="Times New Roman" w:cs="Times New Roman"/>
                <w:snapToGrid w:val="0"/>
                <w:color w:val="auto"/>
                <w:spacing w:val="-2"/>
                <w:kern w:val="0"/>
                <w:sz w:val="21"/>
                <w:szCs w:val="21"/>
                <w:lang w:eastAsia="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113"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批次1</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0.058</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0.030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0.0029</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＜0.004</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＜0.0004</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en-US" w:bidi="ar-SA"/>
              </w:rPr>
            </w:pPr>
            <w:r>
              <w:rPr>
                <w:rFonts w:hint="eastAsia" w:cs="Times New Roman"/>
                <w:snapToGrid w:val="0"/>
                <w:color w:val="auto"/>
                <w:spacing w:val="-2"/>
                <w:kern w:val="0"/>
                <w:sz w:val="21"/>
                <w:szCs w:val="21"/>
                <w:lang w:val="en-US" w:eastAsia="zh-CN"/>
              </w:rPr>
              <w:t>＜0.01</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w:t>
            </w:r>
            <w:r>
              <w:rPr>
                <w:rFonts w:hint="eastAsia" w:ascii="Times New Roman" w:hAnsi="Times New Roman" w:cs="Times New Roman"/>
                <w:snapToGrid w:val="0"/>
                <w:color w:val="auto"/>
                <w:spacing w:val="-2"/>
                <w:kern w:val="0"/>
                <w:sz w:val="21"/>
                <w:szCs w:val="21"/>
                <w:lang w:val="en-US" w:eastAsia="zh-CN"/>
              </w:rPr>
              <w:t>160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w:t>
            </w:r>
            <w:r>
              <w:rPr>
                <w:rFonts w:hint="eastAsia" w:ascii="Times New Roman" w:hAnsi="Times New Roman" w:cs="Times New Roman"/>
                <w:snapToGrid w:val="0"/>
                <w:color w:val="auto"/>
                <w:spacing w:val="-2"/>
                <w:kern w:val="0"/>
                <w:sz w:val="21"/>
                <w:szCs w:val="21"/>
                <w:lang w:val="en-US" w:eastAsia="zh-CN"/>
              </w:rPr>
              <w:t>47</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eastAsia="宋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0.000</w:t>
            </w:r>
            <w:r>
              <w:rPr>
                <w:rFonts w:hint="eastAsia" w:ascii="Times New Roman" w:hAnsi="Times New Roman" w:cs="Times New Roman"/>
                <w:snapToGrid w:val="0"/>
                <w:color w:val="auto"/>
                <w:spacing w:val="-2"/>
                <w:kern w:val="0"/>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113"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批次2</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0.052</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0.031</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0.003</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＜0.004</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＜0.0004</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＜0.01</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w:t>
            </w:r>
            <w:r>
              <w:rPr>
                <w:rFonts w:hint="eastAsia" w:ascii="Times New Roman" w:hAnsi="Times New Roman" w:cs="Times New Roman"/>
                <w:snapToGrid w:val="0"/>
                <w:color w:val="auto"/>
                <w:spacing w:val="-2"/>
                <w:kern w:val="0"/>
                <w:sz w:val="21"/>
                <w:szCs w:val="21"/>
                <w:lang w:val="en-US" w:eastAsia="zh-CN"/>
              </w:rPr>
              <w:t>150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eastAsia="黑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w:t>
            </w:r>
            <w:r>
              <w:rPr>
                <w:rFonts w:hint="eastAsia" w:ascii="Times New Roman" w:hAnsi="Times New Roman" w:cs="Times New Roman"/>
                <w:snapToGrid w:val="0"/>
                <w:color w:val="auto"/>
                <w:spacing w:val="-2"/>
                <w:kern w:val="0"/>
                <w:sz w:val="21"/>
                <w:szCs w:val="21"/>
                <w:lang w:val="en-US" w:eastAsia="zh-CN"/>
              </w:rPr>
              <w:t>48</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eastAsia="黑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0.000</w:t>
            </w:r>
            <w:r>
              <w:rPr>
                <w:rFonts w:hint="eastAsia" w:ascii="Times New Roman" w:hAnsi="Times New Roman" w:cs="Times New Roman"/>
                <w:snapToGrid w:val="0"/>
                <w:color w:val="auto"/>
                <w:spacing w:val="-2"/>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113"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cs="Times New Roman"/>
                <w:snapToGrid w:val="0"/>
                <w:color w:val="auto"/>
                <w:spacing w:val="-2"/>
                <w:kern w:val="0"/>
                <w:sz w:val="21"/>
                <w:szCs w:val="21"/>
                <w:lang w:val="en-US" w:eastAsia="zh-CN"/>
              </w:rPr>
            </w:pPr>
            <w:r>
              <w:rPr>
                <w:rFonts w:hint="eastAsia" w:cs="Times New Roman"/>
                <w:snapToGrid w:val="0"/>
                <w:color w:val="auto"/>
                <w:spacing w:val="-2"/>
                <w:kern w:val="0"/>
                <w:sz w:val="21"/>
                <w:szCs w:val="21"/>
                <w:lang w:val="en-US" w:eastAsia="zh-CN"/>
              </w:rPr>
              <w:t>批次3</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0.053</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0.029</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0.003</w:t>
            </w:r>
          </w:p>
        </w:tc>
        <w:tc>
          <w:tcPr>
            <w:tcW w:w="1181"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＜0.004</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＜0.0004</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snapToGrid w:val="0"/>
                <w:color w:val="auto"/>
                <w:spacing w:val="-2"/>
                <w:kern w:val="0"/>
                <w:sz w:val="21"/>
                <w:szCs w:val="21"/>
                <w:lang w:val="en-US" w:eastAsia="zh-CN"/>
              </w:rPr>
              <w:t>＜0.01</w:t>
            </w:r>
          </w:p>
        </w:tc>
        <w:tc>
          <w:tcPr>
            <w:tcW w:w="1015"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w:t>
            </w:r>
            <w:r>
              <w:rPr>
                <w:rFonts w:hint="eastAsia" w:ascii="Times New Roman" w:hAnsi="Times New Roman" w:cs="Times New Roman"/>
                <w:snapToGrid w:val="0"/>
                <w:color w:val="auto"/>
                <w:spacing w:val="-2"/>
                <w:kern w:val="0"/>
                <w:sz w:val="21"/>
                <w:szCs w:val="21"/>
                <w:lang w:val="en-US" w:eastAsia="zh-CN"/>
              </w:rPr>
              <w:t>160</w:t>
            </w:r>
          </w:p>
        </w:tc>
        <w:tc>
          <w:tcPr>
            <w:tcW w:w="689"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default" w:eastAsia="黑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w:t>
            </w:r>
            <w:r>
              <w:rPr>
                <w:rFonts w:hint="eastAsia" w:ascii="Times New Roman" w:hAnsi="Times New Roman" w:cs="Times New Roman"/>
                <w:snapToGrid w:val="0"/>
                <w:color w:val="auto"/>
                <w:spacing w:val="-2"/>
                <w:kern w:val="0"/>
                <w:sz w:val="21"/>
                <w:szCs w:val="21"/>
                <w:lang w:val="en-US" w:eastAsia="zh-CN"/>
              </w:rPr>
              <w:t>45</w:t>
            </w:r>
          </w:p>
        </w:tc>
        <w:tc>
          <w:tcPr>
            <w:tcW w:w="1134" w:type="dxa"/>
            <w:shd w:val="clear" w:color="auto" w:fill="auto"/>
            <w:noWrap w:val="0"/>
            <w:vAlign w:val="center"/>
          </w:tcPr>
          <w:p>
            <w:pPr>
              <w:keepNext w:val="0"/>
              <w:keepLines w:val="0"/>
              <w:pageBreakBefore w:val="0"/>
              <w:widowControl/>
              <w:kinsoku w:val="0"/>
              <w:wordWrap/>
              <w:overflowPunct/>
              <w:topLinePunct w:val="0"/>
              <w:autoSpaceDE w:val="0"/>
              <w:autoSpaceDN w:val="0"/>
              <w:bidi w:val="0"/>
              <w:adjustRightInd w:val="0"/>
              <w:spacing w:line="360" w:lineRule="auto"/>
              <w:jc w:val="center"/>
              <w:textAlignment w:val="baseline"/>
              <w:rPr>
                <w:rFonts w:hint="eastAsia" w:eastAsia="黑体" w:cs="Times New Roman"/>
                <w:snapToGrid w:val="0"/>
                <w:color w:val="auto"/>
                <w:spacing w:val="-2"/>
                <w:kern w:val="0"/>
                <w:sz w:val="21"/>
                <w:szCs w:val="21"/>
                <w:lang w:val="en-US" w:eastAsia="zh-CN"/>
              </w:rPr>
            </w:pPr>
            <w:r>
              <w:rPr>
                <w:rFonts w:hint="default" w:ascii="Times New Roman" w:hAnsi="Times New Roman" w:cs="Times New Roman"/>
                <w:snapToGrid w:val="0"/>
                <w:color w:val="auto"/>
                <w:spacing w:val="-2"/>
                <w:kern w:val="0"/>
                <w:sz w:val="21"/>
                <w:szCs w:val="21"/>
                <w:lang w:eastAsia="en-US"/>
              </w:rPr>
              <w:t>0.000</w:t>
            </w:r>
            <w:r>
              <w:rPr>
                <w:rFonts w:hint="eastAsia" w:ascii="Times New Roman" w:hAnsi="Times New Roman" w:cs="Times New Roman"/>
                <w:snapToGrid w:val="0"/>
                <w:color w:val="auto"/>
                <w:spacing w:val="-2"/>
                <w:kern w:val="0"/>
                <w:sz w:val="21"/>
                <w:szCs w:val="21"/>
                <w:lang w:val="en-US" w:eastAsia="zh-CN"/>
              </w:rPr>
              <w:t>8</w:t>
            </w:r>
          </w:p>
        </w:tc>
      </w:tr>
    </w:tbl>
    <w:p>
      <w:pPr>
        <w:keepNext w:val="0"/>
        <w:keepLines w:val="0"/>
        <w:pageBreakBefore w:val="0"/>
        <w:wordWrap/>
        <w:overflowPunct/>
        <w:topLinePunct w:val="0"/>
        <w:bidi w:val="0"/>
        <w:spacing w:line="360" w:lineRule="auto"/>
        <w:rPr>
          <w:rFonts w:hint="default" w:ascii="Times New Roman" w:hAnsi="Times New Roman" w:cs="Times New Roman"/>
          <w:color w:val="auto"/>
          <w:sz w:val="24"/>
          <w:szCs w:val="24"/>
        </w:rPr>
      </w:pPr>
    </w:p>
    <w:p>
      <w:pPr>
        <w:keepNext w:val="0"/>
        <w:keepLines w:val="0"/>
        <w:pageBreakBefore w:val="0"/>
        <w:wordWrap/>
        <w:overflowPunct/>
        <w:topLinePunct w:val="0"/>
        <w:bidi w:val="0"/>
        <w:snapToGrid w:val="0"/>
        <w:spacing w:line="360" w:lineRule="auto"/>
        <w:ind w:firstLine="482" w:firstLineChars="200"/>
        <w:rPr>
          <w:rFonts w:hint="default" w:ascii="Times New Roman" w:hAnsi="Times New Roman" w:cs="Times New Roman"/>
          <w:b/>
          <w:bCs/>
          <w:color w:val="auto"/>
          <w:sz w:val="24"/>
          <w:szCs w:val="24"/>
        </w:rPr>
      </w:pPr>
      <w:bookmarkStart w:id="2" w:name="_Toc493262385"/>
      <w:r>
        <w:rPr>
          <w:rFonts w:hint="default"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rPr>
        <w:t>.2</w:t>
      </w:r>
      <w:bookmarkEnd w:id="2"/>
      <w:r>
        <w:rPr>
          <w:rFonts w:hint="default" w:ascii="Times New Roman" w:hAnsi="Times New Roman" w:cs="Times New Roman"/>
          <w:b/>
          <w:bCs/>
          <w:color w:val="auto"/>
          <w:sz w:val="24"/>
          <w:szCs w:val="24"/>
        </w:rPr>
        <w:t xml:space="preserve"> 粒度</w:t>
      </w:r>
    </w:p>
    <w:p>
      <w:pPr>
        <w:keepNext w:val="0"/>
        <w:keepLines w:val="0"/>
        <w:pageBreakBefore w:val="0"/>
        <w:wordWrap/>
        <w:overflowPunct/>
        <w:topLinePunct w:val="0"/>
        <w:bidi w:val="0"/>
        <w:spacing w:line="360" w:lineRule="auto"/>
        <w:ind w:firstLine="420"/>
        <w:rPr>
          <w:rFonts w:hint="default" w:ascii="Times New Roman" w:hAnsi="Times New Roman" w:cs="Times New Roman"/>
          <w:color w:val="auto"/>
          <w:sz w:val="24"/>
          <w:szCs w:val="24"/>
        </w:rPr>
      </w:pPr>
      <w:r>
        <w:rPr>
          <w:rFonts w:hint="eastAsia" w:cs="Times New Roman"/>
          <w:color w:val="auto"/>
          <w:sz w:val="24"/>
          <w:szCs w:val="24"/>
          <w:lang w:val="en-US" w:eastAsia="zh-CN"/>
        </w:rPr>
        <w:t>产品的</w:t>
      </w:r>
      <w:r>
        <w:rPr>
          <w:rFonts w:hint="default" w:ascii="Times New Roman" w:hAnsi="Times New Roman" w:cs="Times New Roman"/>
          <w:color w:val="auto"/>
          <w:sz w:val="24"/>
          <w:szCs w:val="24"/>
        </w:rPr>
        <w:t>粒度应符合表</w:t>
      </w:r>
      <w:r>
        <w:rPr>
          <w:rFonts w:hint="eastAsia" w:cs="Times New Roman"/>
          <w:color w:val="auto"/>
          <w:sz w:val="24"/>
          <w:szCs w:val="24"/>
          <w:lang w:val="en-US" w:eastAsia="zh-CN"/>
        </w:rPr>
        <w:t>3</w:t>
      </w:r>
      <w:r>
        <w:rPr>
          <w:rFonts w:hint="default" w:ascii="Times New Roman" w:hAnsi="Times New Roman" w:cs="Times New Roman"/>
          <w:color w:val="auto"/>
          <w:sz w:val="24"/>
          <w:szCs w:val="24"/>
        </w:rPr>
        <w:t>的规定</w:t>
      </w:r>
      <w:r>
        <w:rPr>
          <w:rFonts w:hint="eastAsia" w:cs="Times New Roman"/>
          <w:color w:val="auto"/>
          <w:sz w:val="24"/>
          <w:szCs w:val="24"/>
          <w:lang w:eastAsia="zh-CN"/>
        </w:rPr>
        <w:t>，</w:t>
      </w:r>
      <w:r>
        <w:rPr>
          <w:rFonts w:hint="default" w:ascii="Times New Roman" w:hAnsi="Times New Roman" w:cs="Times New Roman"/>
          <w:color w:val="auto"/>
          <w:sz w:val="24"/>
          <w:szCs w:val="24"/>
        </w:rPr>
        <w:t>粒度按</w:t>
      </w:r>
      <w:r>
        <w:rPr>
          <w:rFonts w:hint="default" w:ascii="Times New Roman" w:hAnsi="Times New Roman" w:eastAsia="宋体" w:cs="Times New Roman"/>
          <w:color w:val="auto"/>
          <w:sz w:val="24"/>
          <w:szCs w:val="32"/>
        </w:rPr>
        <w:t>GB/T 1</w:t>
      </w:r>
      <w:r>
        <w:rPr>
          <w:rFonts w:hint="eastAsia" w:ascii="Times New Roman" w:hAnsi="Times New Roman" w:eastAsia="宋体" w:cs="Times New Roman"/>
          <w:color w:val="auto"/>
          <w:sz w:val="24"/>
          <w:szCs w:val="32"/>
          <w:lang w:val="en-US" w:eastAsia="zh-CN"/>
        </w:rPr>
        <w:t>480</w:t>
      </w:r>
      <w:r>
        <w:rPr>
          <w:rFonts w:hint="default" w:ascii="Times New Roman" w:hAnsi="Times New Roman" w:cs="Times New Roman"/>
          <w:color w:val="auto"/>
          <w:sz w:val="24"/>
          <w:szCs w:val="24"/>
        </w:rPr>
        <w:t>的规定</w:t>
      </w:r>
      <w:r>
        <w:rPr>
          <w:rFonts w:hint="default" w:ascii="Times New Roman" w:hAnsi="Times New Roman" w:cs="Times New Roman"/>
          <w:color w:val="auto"/>
          <w:sz w:val="24"/>
          <w:szCs w:val="24"/>
        </w:rPr>
        <w:t>进行</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粉末粒度、粉末筛上和筛下允许偏差由供需双方协商并在合同中规定</w:t>
      </w:r>
      <w:r>
        <w:rPr>
          <w:rFonts w:hint="default" w:ascii="Times New Roman" w:hAnsi="Times New Roman" w:cs="Times New Roman"/>
          <w:color w:val="auto"/>
          <w:sz w:val="24"/>
          <w:szCs w:val="24"/>
        </w:rPr>
        <w:t>。</w:t>
      </w:r>
    </w:p>
    <w:p>
      <w:pPr>
        <w:keepNext w:val="0"/>
        <w:keepLines w:val="0"/>
        <w:pageBreakBefore w:val="0"/>
        <w:wordWrap/>
        <w:overflowPunct/>
        <w:topLinePunct w:val="0"/>
        <w:bidi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rPr>
        <w:t>.3 松装密度</w:t>
      </w:r>
    </w:p>
    <w:p>
      <w:pPr>
        <w:keepNext w:val="0"/>
        <w:keepLines w:val="0"/>
        <w:pageBreakBefore w:val="0"/>
        <w:wordWrap/>
        <w:overflowPunct/>
        <w:topLinePunct w:val="0"/>
        <w:bidi w:val="0"/>
        <w:spacing w:line="360" w:lineRule="auto"/>
        <w:ind w:firstLine="420"/>
        <w:rPr>
          <w:rFonts w:hint="default" w:ascii="Times New Roman" w:hAnsi="Times New Roman" w:cs="Times New Roman"/>
          <w:color w:val="auto"/>
          <w:sz w:val="24"/>
          <w:szCs w:val="24"/>
          <w:highlight w:val="none"/>
        </w:rPr>
      </w:pPr>
      <w:r>
        <w:rPr>
          <w:rFonts w:hint="eastAsia" w:cs="Times New Roman"/>
          <w:color w:val="auto"/>
          <w:sz w:val="24"/>
          <w:szCs w:val="24"/>
          <w:lang w:val="en-US" w:eastAsia="zh-CN"/>
        </w:rPr>
        <w:t>产品</w:t>
      </w:r>
      <w:r>
        <w:rPr>
          <w:rFonts w:hint="default" w:ascii="Times New Roman" w:hAnsi="Times New Roman" w:cs="Times New Roman"/>
          <w:color w:val="auto"/>
          <w:sz w:val="24"/>
          <w:szCs w:val="24"/>
        </w:rPr>
        <w:t>的松装密度应不</w:t>
      </w:r>
      <w:r>
        <w:rPr>
          <w:rFonts w:hint="eastAsia" w:cs="Times New Roman"/>
          <w:color w:val="auto"/>
          <w:sz w:val="24"/>
          <w:szCs w:val="24"/>
          <w:lang w:val="en-US" w:eastAsia="zh-CN"/>
        </w:rPr>
        <w:t>小于</w:t>
      </w:r>
      <w:r>
        <w:rPr>
          <w:rFonts w:hint="default" w:ascii="Times New Roman" w:hAnsi="Times New Roman" w:cs="Times New Roman"/>
          <w:color w:val="auto"/>
          <w:sz w:val="24"/>
          <w:szCs w:val="24"/>
          <w:highlight w:val="none"/>
        </w:rPr>
        <w:t xml:space="preserve"> 4.</w:t>
      </w:r>
      <w:r>
        <w:rPr>
          <w:rFonts w:hint="eastAsia" w:cs="Times New Roman"/>
          <w:color w:val="auto"/>
          <w:sz w:val="24"/>
          <w:szCs w:val="24"/>
          <w:highlight w:val="none"/>
          <w:lang w:val="en-US" w:eastAsia="zh-CN"/>
        </w:rPr>
        <w:t>10</w:t>
      </w:r>
      <w:r>
        <w:rPr>
          <w:rFonts w:hint="default" w:ascii="Times New Roman" w:hAnsi="Times New Roman" w:cs="Times New Roman"/>
          <w:color w:val="auto"/>
          <w:sz w:val="24"/>
          <w:szCs w:val="24"/>
          <w:highlight w:val="none"/>
        </w:rPr>
        <w:t xml:space="preserve"> g/cm</w:t>
      </w:r>
      <w:r>
        <w:rPr>
          <w:rFonts w:hint="default" w:ascii="Times New Roman" w:hAnsi="Times New Roman" w:cs="Times New Roman"/>
          <w:color w:val="auto"/>
          <w:sz w:val="24"/>
          <w:szCs w:val="24"/>
          <w:highlight w:val="none"/>
          <w:vertAlign w:val="superscript"/>
        </w:rPr>
        <w:t xml:space="preserve">3 </w:t>
      </w:r>
      <w:r>
        <w:rPr>
          <w:rFonts w:hint="default" w:ascii="Times New Roman" w:hAnsi="Times New Roman" w:cs="Times New Roman"/>
          <w:color w:val="auto"/>
          <w:sz w:val="24"/>
          <w:szCs w:val="24"/>
          <w:highlight w:val="none"/>
        </w:rPr>
        <w:t>。松装密度使用漏斗法进行测定，按照GB/T 1479.1的规定进行。</w:t>
      </w:r>
    </w:p>
    <w:p>
      <w:pPr>
        <w:keepNext w:val="0"/>
        <w:keepLines w:val="0"/>
        <w:pageBreakBefore w:val="0"/>
        <w:wordWrap/>
        <w:overflowPunct/>
        <w:topLinePunct w:val="0"/>
        <w:bidi w:val="0"/>
        <w:spacing w:line="360" w:lineRule="auto"/>
        <w:ind w:firstLine="42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实测</w:t>
      </w:r>
      <w:r>
        <w:rPr>
          <w:rFonts w:hint="default" w:ascii="Times New Roman" w:hAnsi="Times New Roman" w:cs="Times New Roman"/>
          <w:color w:val="auto"/>
          <w:sz w:val="24"/>
          <w:szCs w:val="24"/>
          <w:highlight w:val="none"/>
        </w:rPr>
        <w:t>松装密度</w:t>
      </w:r>
      <w:r>
        <w:rPr>
          <w:rFonts w:hint="eastAsia" w:cs="Times New Roman"/>
          <w:color w:val="auto"/>
          <w:sz w:val="24"/>
          <w:szCs w:val="24"/>
          <w:highlight w:val="none"/>
          <w:lang w:val="en-US" w:eastAsia="zh-CN"/>
        </w:rPr>
        <w:t>为4.18</w:t>
      </w:r>
      <w:r>
        <w:rPr>
          <w:rFonts w:hint="default" w:ascii="Times New Roman" w:hAnsi="Times New Roman" w:cs="Times New Roman"/>
          <w:color w:val="auto"/>
          <w:sz w:val="24"/>
          <w:szCs w:val="24"/>
          <w:highlight w:val="none"/>
        </w:rPr>
        <w:t xml:space="preserve"> g/cm</w:t>
      </w:r>
      <w:r>
        <w:rPr>
          <w:rFonts w:hint="default" w:ascii="Times New Roman" w:hAnsi="Times New Roman" w:cs="Times New Roman"/>
          <w:color w:val="auto"/>
          <w:sz w:val="24"/>
          <w:szCs w:val="24"/>
          <w:highlight w:val="none"/>
          <w:vertAlign w:val="superscript"/>
        </w:rPr>
        <w:t xml:space="preserve">3 </w:t>
      </w:r>
      <w:r>
        <w:rPr>
          <w:rFonts w:hint="eastAsia" w:cs="Times New Roman"/>
          <w:color w:val="auto"/>
          <w:sz w:val="24"/>
          <w:szCs w:val="24"/>
          <w:highlight w:val="none"/>
          <w:vertAlign w:val="baseline"/>
          <w:lang w:eastAsia="zh-CN"/>
        </w:rPr>
        <w:t>、</w:t>
      </w:r>
      <w:r>
        <w:rPr>
          <w:rFonts w:hint="eastAsia" w:cs="Times New Roman"/>
          <w:color w:val="auto"/>
          <w:sz w:val="24"/>
          <w:szCs w:val="24"/>
          <w:highlight w:val="none"/>
          <w:lang w:val="en-US" w:eastAsia="zh-CN"/>
        </w:rPr>
        <w:t>4.17</w:t>
      </w:r>
      <w:r>
        <w:rPr>
          <w:rFonts w:hint="default" w:ascii="Times New Roman" w:hAnsi="Times New Roman" w:cs="Times New Roman"/>
          <w:color w:val="auto"/>
          <w:sz w:val="24"/>
          <w:szCs w:val="24"/>
          <w:highlight w:val="none"/>
        </w:rPr>
        <w:t>g/cm</w:t>
      </w:r>
      <w:r>
        <w:rPr>
          <w:rFonts w:hint="default" w:ascii="Times New Roman" w:hAnsi="Times New Roman" w:cs="Times New Roman"/>
          <w:color w:val="auto"/>
          <w:sz w:val="24"/>
          <w:szCs w:val="24"/>
          <w:highlight w:val="none"/>
          <w:vertAlign w:val="superscript"/>
        </w:rPr>
        <w:t xml:space="preserve">3 </w:t>
      </w:r>
      <w:r>
        <w:rPr>
          <w:rFonts w:hint="eastAsia" w:cs="Times New Roman"/>
          <w:color w:val="auto"/>
          <w:sz w:val="24"/>
          <w:szCs w:val="24"/>
          <w:highlight w:val="none"/>
          <w:vertAlign w:val="baseline"/>
          <w:lang w:eastAsia="zh-CN"/>
        </w:rPr>
        <w:t>、</w:t>
      </w:r>
      <w:r>
        <w:rPr>
          <w:rFonts w:hint="eastAsia" w:cs="Times New Roman"/>
          <w:color w:val="auto"/>
          <w:sz w:val="24"/>
          <w:szCs w:val="24"/>
          <w:highlight w:val="none"/>
          <w:lang w:val="en-US" w:eastAsia="zh-CN"/>
        </w:rPr>
        <w:t>4.29</w:t>
      </w:r>
      <w:r>
        <w:rPr>
          <w:rFonts w:hint="default" w:ascii="Times New Roman" w:hAnsi="Times New Roman" w:cs="Times New Roman"/>
          <w:color w:val="auto"/>
          <w:sz w:val="24"/>
          <w:szCs w:val="24"/>
          <w:highlight w:val="none"/>
        </w:rPr>
        <w:t xml:space="preserve"> g/cm</w:t>
      </w:r>
      <w:r>
        <w:rPr>
          <w:rFonts w:hint="default" w:ascii="Times New Roman" w:hAnsi="Times New Roman" w:cs="Times New Roman"/>
          <w:color w:val="auto"/>
          <w:sz w:val="24"/>
          <w:szCs w:val="24"/>
          <w:highlight w:val="none"/>
          <w:vertAlign w:val="superscript"/>
        </w:rPr>
        <w:t xml:space="preserve">3 </w:t>
      </w:r>
      <w:r>
        <w:rPr>
          <w:rFonts w:hint="default" w:ascii="Times New Roman" w:hAnsi="Times New Roman" w:cs="Times New Roman"/>
          <w:color w:val="auto"/>
          <w:sz w:val="24"/>
          <w:szCs w:val="24"/>
          <w:highlight w:val="none"/>
        </w:rPr>
        <w:t>。</w:t>
      </w:r>
    </w:p>
    <w:p>
      <w:pPr>
        <w:keepNext w:val="0"/>
        <w:keepLines w:val="0"/>
        <w:pageBreakBefore w:val="0"/>
        <w:wordWrap/>
        <w:overflowPunct/>
        <w:topLinePunct w:val="0"/>
        <w:bidi w:val="0"/>
        <w:snapToGrid w:val="0"/>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lang w:val="en-US" w:eastAsia="zh-CN"/>
        </w:rPr>
        <w:t>3</w:t>
      </w:r>
      <w:r>
        <w:rPr>
          <w:rFonts w:hint="default" w:ascii="Times New Roman" w:hAnsi="Times New Roman" w:cs="Times New Roman"/>
          <w:b/>
          <w:bCs/>
          <w:color w:val="auto"/>
          <w:sz w:val="24"/>
          <w:szCs w:val="24"/>
          <w:highlight w:val="none"/>
        </w:rPr>
        <w:t xml:space="preserve">.4 振实密度 </w:t>
      </w:r>
    </w:p>
    <w:p>
      <w:pPr>
        <w:keepNext w:val="0"/>
        <w:keepLines w:val="0"/>
        <w:pageBreakBefore w:val="0"/>
        <w:wordWrap/>
        <w:overflowPunct/>
        <w:topLinePunct w:val="0"/>
        <w:bidi w:val="0"/>
        <w:spacing w:line="360" w:lineRule="auto"/>
        <w:ind w:firstLine="480" w:firstLineChars="200"/>
        <w:outlineLvl w:val="1"/>
        <w:rPr>
          <w:rFonts w:hint="default" w:ascii="Times New Roman" w:hAnsi="Times New Roman" w:cs="Times New Roman"/>
          <w:color w:val="auto"/>
          <w:sz w:val="24"/>
          <w:szCs w:val="24"/>
        </w:rPr>
      </w:pPr>
      <w:r>
        <w:rPr>
          <w:rFonts w:hint="eastAsia" w:cs="Times New Roman"/>
          <w:color w:val="auto"/>
          <w:sz w:val="24"/>
          <w:szCs w:val="24"/>
          <w:lang w:val="en-US" w:eastAsia="zh-CN"/>
        </w:rPr>
        <w:t>产品</w:t>
      </w:r>
      <w:r>
        <w:rPr>
          <w:rFonts w:hint="default" w:ascii="Times New Roman" w:hAnsi="Times New Roman" w:cs="Times New Roman"/>
          <w:color w:val="auto"/>
          <w:sz w:val="24"/>
          <w:szCs w:val="24"/>
          <w:highlight w:val="none"/>
        </w:rPr>
        <w:t>的振实密度应不</w:t>
      </w:r>
      <w:r>
        <w:rPr>
          <w:rFonts w:hint="eastAsia" w:cs="Times New Roman"/>
          <w:color w:val="auto"/>
          <w:sz w:val="24"/>
          <w:szCs w:val="24"/>
          <w:highlight w:val="none"/>
          <w:lang w:val="en-US" w:eastAsia="zh-CN"/>
        </w:rPr>
        <w:t>小于</w:t>
      </w:r>
      <w:r>
        <w:rPr>
          <w:rFonts w:hint="default" w:ascii="Times New Roman" w:hAnsi="Times New Roman" w:cs="Times New Roman"/>
          <w:color w:val="auto"/>
          <w:sz w:val="24"/>
          <w:szCs w:val="24"/>
          <w:highlight w:val="none"/>
        </w:rPr>
        <w:t xml:space="preserve"> </w:t>
      </w:r>
      <w:r>
        <w:rPr>
          <w:rFonts w:hint="eastAsia"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w:t>
      </w:r>
      <w:r>
        <w:rPr>
          <w:rFonts w:hint="eastAsia" w:cs="Times New Roman"/>
          <w:color w:val="auto"/>
          <w:sz w:val="24"/>
          <w:szCs w:val="24"/>
          <w:highlight w:val="none"/>
          <w:lang w:val="en-US" w:eastAsia="zh-CN"/>
        </w:rPr>
        <w:t>50</w:t>
      </w:r>
      <w:r>
        <w:rPr>
          <w:rFonts w:hint="default" w:ascii="Times New Roman" w:hAnsi="Times New Roman" w:cs="Times New Roman"/>
          <w:color w:val="auto"/>
          <w:sz w:val="24"/>
          <w:szCs w:val="24"/>
          <w:highlight w:val="none"/>
        </w:rPr>
        <w:t>g</w:t>
      </w:r>
      <w:r>
        <w:rPr>
          <w:rFonts w:hint="default" w:ascii="Times New Roman" w:hAnsi="Times New Roman" w:cs="Times New Roman"/>
          <w:color w:val="auto"/>
          <w:sz w:val="24"/>
          <w:szCs w:val="24"/>
        </w:rPr>
        <w:t>/cm</w:t>
      </w:r>
      <w:r>
        <w:rPr>
          <w:rFonts w:hint="default" w:ascii="Times New Roman" w:hAnsi="Times New Roman" w:cs="Times New Roman"/>
          <w:color w:val="auto"/>
          <w:sz w:val="24"/>
          <w:szCs w:val="24"/>
          <w:vertAlign w:val="superscript"/>
        </w:rPr>
        <w:t xml:space="preserve">3 </w:t>
      </w:r>
      <w:r>
        <w:rPr>
          <w:rFonts w:hint="default" w:ascii="Times New Roman" w:hAnsi="Times New Roman" w:cs="Times New Roman"/>
          <w:color w:val="auto"/>
          <w:sz w:val="24"/>
          <w:szCs w:val="24"/>
        </w:rPr>
        <w:t>。振实密度使用振实密度仪进行测定，按照GB/T 5162的规定进行。</w:t>
      </w:r>
    </w:p>
    <w:p>
      <w:pPr>
        <w:keepNext w:val="0"/>
        <w:keepLines w:val="0"/>
        <w:pageBreakBefore w:val="0"/>
        <w:wordWrap/>
        <w:overflowPunct/>
        <w:topLinePunct w:val="0"/>
        <w:bidi w:val="0"/>
        <w:spacing w:line="360" w:lineRule="auto"/>
        <w:ind w:firstLine="480" w:firstLineChars="200"/>
        <w:outlineLvl w:val="1"/>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实测振实</w:t>
      </w:r>
      <w:r>
        <w:rPr>
          <w:rFonts w:hint="default" w:ascii="Times New Roman" w:hAnsi="Times New Roman" w:cs="Times New Roman"/>
          <w:color w:val="auto"/>
          <w:sz w:val="24"/>
          <w:szCs w:val="24"/>
        </w:rPr>
        <w:t>密度</w:t>
      </w:r>
      <w:r>
        <w:rPr>
          <w:rFonts w:hint="eastAsia" w:cs="Times New Roman"/>
          <w:color w:val="auto"/>
          <w:sz w:val="24"/>
          <w:szCs w:val="24"/>
          <w:lang w:val="en-US" w:eastAsia="zh-CN"/>
        </w:rPr>
        <w:t>为4.79</w:t>
      </w:r>
      <w:r>
        <w:rPr>
          <w:rFonts w:hint="default" w:ascii="Times New Roman" w:hAnsi="Times New Roman" w:cs="Times New Roman"/>
          <w:color w:val="auto"/>
          <w:sz w:val="24"/>
          <w:szCs w:val="24"/>
        </w:rPr>
        <w:t xml:space="preserve"> g/cm</w:t>
      </w:r>
      <w:r>
        <w:rPr>
          <w:rFonts w:hint="default" w:ascii="Times New Roman" w:hAnsi="Times New Roman" w:cs="Times New Roman"/>
          <w:color w:val="auto"/>
          <w:sz w:val="24"/>
          <w:szCs w:val="24"/>
          <w:vertAlign w:val="superscript"/>
        </w:rPr>
        <w:t>3</w:t>
      </w:r>
      <w:r>
        <w:rPr>
          <w:rFonts w:hint="eastAsia" w:cs="Times New Roman"/>
          <w:color w:val="auto"/>
          <w:sz w:val="24"/>
          <w:szCs w:val="24"/>
          <w:vertAlign w:val="baseline"/>
          <w:lang w:eastAsia="zh-CN"/>
        </w:rPr>
        <w:t>、</w:t>
      </w:r>
      <w:r>
        <w:rPr>
          <w:rFonts w:hint="eastAsia" w:cs="Times New Roman"/>
          <w:color w:val="auto"/>
          <w:sz w:val="24"/>
          <w:szCs w:val="24"/>
          <w:lang w:val="en-US" w:eastAsia="zh-CN"/>
        </w:rPr>
        <w:t>4.81</w:t>
      </w:r>
      <w:r>
        <w:rPr>
          <w:rFonts w:hint="default" w:ascii="Times New Roman" w:hAnsi="Times New Roman" w:cs="Times New Roman"/>
          <w:color w:val="auto"/>
          <w:sz w:val="24"/>
          <w:szCs w:val="24"/>
        </w:rPr>
        <w:t xml:space="preserve"> g/cm</w:t>
      </w:r>
      <w:r>
        <w:rPr>
          <w:rFonts w:hint="default" w:ascii="Times New Roman" w:hAnsi="Times New Roman" w:cs="Times New Roman"/>
          <w:color w:val="auto"/>
          <w:sz w:val="24"/>
          <w:szCs w:val="24"/>
          <w:vertAlign w:val="superscript"/>
        </w:rPr>
        <w:t>3</w:t>
      </w:r>
      <w:r>
        <w:rPr>
          <w:rFonts w:hint="eastAsia" w:cs="Times New Roman"/>
          <w:color w:val="auto"/>
          <w:sz w:val="24"/>
          <w:szCs w:val="24"/>
          <w:vertAlign w:val="superscript"/>
          <w:lang w:eastAsia="zh-CN"/>
        </w:rPr>
        <w:t>、</w:t>
      </w:r>
      <w:r>
        <w:rPr>
          <w:rFonts w:hint="eastAsia" w:cs="Times New Roman"/>
          <w:color w:val="auto"/>
          <w:sz w:val="24"/>
          <w:szCs w:val="24"/>
          <w:lang w:val="en-US" w:eastAsia="zh-CN"/>
        </w:rPr>
        <w:t>4.76</w:t>
      </w:r>
      <w:r>
        <w:rPr>
          <w:rFonts w:hint="default" w:ascii="Times New Roman" w:hAnsi="Times New Roman" w:cs="Times New Roman"/>
          <w:color w:val="auto"/>
          <w:sz w:val="24"/>
          <w:szCs w:val="24"/>
        </w:rPr>
        <w:t xml:space="preserve"> g/cm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vertAlign w:val="baseline"/>
        </w:rPr>
        <w:t xml:space="preserve"> </w:t>
      </w:r>
      <w:r>
        <w:rPr>
          <w:rFonts w:hint="default" w:ascii="Times New Roman" w:hAnsi="Times New Roman" w:cs="Times New Roman"/>
          <w:color w:val="auto"/>
          <w:sz w:val="24"/>
          <w:szCs w:val="24"/>
        </w:rPr>
        <w:t>。</w:t>
      </w:r>
    </w:p>
    <w:p>
      <w:pPr>
        <w:keepNext w:val="0"/>
        <w:keepLines w:val="0"/>
        <w:pageBreakBefore w:val="0"/>
        <w:wordWrap/>
        <w:overflowPunct/>
        <w:topLinePunct w:val="0"/>
        <w:bidi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rPr>
        <w:t>.5 流动性</w:t>
      </w:r>
    </w:p>
    <w:p>
      <w:pPr>
        <w:keepNext w:val="0"/>
        <w:keepLines w:val="0"/>
        <w:pageBreakBefore w:val="0"/>
        <w:wordWrap/>
        <w:overflowPunct/>
        <w:topLinePunct w:val="0"/>
        <w:bidi w:val="0"/>
        <w:spacing w:line="360" w:lineRule="auto"/>
        <w:ind w:firstLine="420"/>
        <w:rPr>
          <w:rFonts w:hint="default" w:ascii="Times New Roman" w:hAnsi="Times New Roman" w:cs="Times New Roman"/>
          <w:color w:val="auto"/>
          <w:sz w:val="24"/>
          <w:szCs w:val="24"/>
        </w:rPr>
      </w:pPr>
      <w:r>
        <w:rPr>
          <w:rFonts w:hint="eastAsia" w:cs="Times New Roman"/>
          <w:color w:val="auto"/>
          <w:sz w:val="24"/>
          <w:szCs w:val="24"/>
          <w:lang w:val="en-US" w:eastAsia="zh-CN"/>
        </w:rPr>
        <w:t>产品</w:t>
      </w:r>
      <w:r>
        <w:rPr>
          <w:rFonts w:hint="default" w:ascii="Times New Roman" w:hAnsi="Times New Roman" w:cs="Times New Roman"/>
          <w:color w:val="auto"/>
          <w:sz w:val="24"/>
          <w:szCs w:val="24"/>
        </w:rPr>
        <w:t>的流动性应不大于 1</w:t>
      </w:r>
      <w:r>
        <w:rPr>
          <w:rFonts w:hint="eastAsia" w:cs="Times New Roman"/>
          <w:color w:val="auto"/>
          <w:sz w:val="24"/>
          <w:szCs w:val="24"/>
          <w:lang w:val="en-US" w:eastAsia="zh-CN"/>
        </w:rPr>
        <w:t>7</w:t>
      </w:r>
      <w:r>
        <w:rPr>
          <w:rFonts w:hint="default" w:ascii="Times New Roman" w:hAnsi="Times New Roman" w:cs="Times New Roman"/>
          <w:color w:val="auto"/>
          <w:sz w:val="24"/>
          <w:szCs w:val="24"/>
        </w:rPr>
        <w:t>.</w:t>
      </w:r>
      <w:r>
        <w:rPr>
          <w:rFonts w:hint="eastAsia" w:cs="Times New Roman"/>
          <w:color w:val="auto"/>
          <w:sz w:val="24"/>
          <w:szCs w:val="24"/>
          <w:lang w:val="en-US" w:eastAsia="zh-CN"/>
        </w:rPr>
        <w:t>80</w:t>
      </w:r>
      <w:r>
        <w:rPr>
          <w:rFonts w:hint="default" w:ascii="Times New Roman" w:hAnsi="Times New Roman" w:cs="Times New Roman"/>
          <w:caps/>
          <w:color w:val="auto"/>
          <w:sz w:val="24"/>
          <w:szCs w:val="24"/>
        </w:rPr>
        <w:t>（</w:t>
      </w:r>
      <w:r>
        <w:rPr>
          <w:rFonts w:hint="default" w:ascii="Times New Roman" w:hAnsi="Times New Roman" w:cs="Times New Roman"/>
          <w:color w:val="auto"/>
          <w:sz w:val="24"/>
          <w:szCs w:val="24"/>
        </w:rPr>
        <w:t>s/50±0.1g</w:t>
      </w:r>
      <w:r>
        <w:rPr>
          <w:rFonts w:hint="default" w:ascii="Times New Roman" w:hAnsi="Times New Roman" w:cs="Times New Roman"/>
          <w:caps/>
          <w:color w:val="auto"/>
          <w:sz w:val="24"/>
          <w:szCs w:val="24"/>
        </w:rPr>
        <w:t>）</w:t>
      </w:r>
      <w:r>
        <w:rPr>
          <w:rFonts w:hint="default" w:ascii="Times New Roman" w:hAnsi="Times New Roman" w:cs="Times New Roman"/>
          <w:color w:val="auto"/>
          <w:sz w:val="24"/>
          <w:szCs w:val="24"/>
        </w:rPr>
        <w:t>。流动性使用标准漏斗法(霍尔流速计)进行测定，按照GB/T 1482的规定进行。</w:t>
      </w:r>
    </w:p>
    <w:p>
      <w:pPr>
        <w:keepNext w:val="0"/>
        <w:keepLines w:val="0"/>
        <w:pageBreakBefore w:val="0"/>
        <w:wordWrap/>
        <w:overflowPunct/>
        <w:topLinePunct w:val="0"/>
        <w:bidi w:val="0"/>
        <w:spacing w:line="360" w:lineRule="auto"/>
        <w:ind w:firstLine="420"/>
        <w:rPr>
          <w:rFonts w:hint="eastAsia" w:cs="Times New Roman"/>
          <w:caps/>
          <w:color w:val="auto"/>
          <w:sz w:val="24"/>
          <w:szCs w:val="24"/>
          <w:lang w:eastAsia="zh-CN"/>
        </w:rPr>
      </w:pPr>
      <w:r>
        <w:rPr>
          <w:rFonts w:hint="eastAsia" w:cs="Times New Roman"/>
          <w:color w:val="auto"/>
          <w:sz w:val="24"/>
          <w:szCs w:val="24"/>
          <w:lang w:val="en-US" w:eastAsia="zh-CN"/>
        </w:rPr>
        <w:t>实测</w:t>
      </w:r>
      <w:r>
        <w:rPr>
          <w:rFonts w:hint="default" w:ascii="Times New Roman" w:hAnsi="Times New Roman" w:cs="Times New Roman"/>
          <w:color w:val="auto"/>
          <w:sz w:val="24"/>
          <w:szCs w:val="24"/>
        </w:rPr>
        <w:t>流动性</w:t>
      </w:r>
      <w:r>
        <w:rPr>
          <w:rFonts w:hint="eastAsia" w:cs="Times New Roman"/>
          <w:color w:val="auto"/>
          <w:sz w:val="24"/>
          <w:szCs w:val="24"/>
          <w:lang w:val="en-US" w:eastAsia="zh-CN"/>
        </w:rPr>
        <w:t>为</w:t>
      </w:r>
      <w:r>
        <w:rPr>
          <w:rFonts w:hint="default" w:ascii="Times New Roman" w:hAnsi="Times New Roman" w:cs="Times New Roman"/>
          <w:color w:val="auto"/>
          <w:sz w:val="24"/>
          <w:szCs w:val="24"/>
        </w:rPr>
        <w:t xml:space="preserve"> 17.39</w:t>
      </w:r>
      <w:r>
        <w:rPr>
          <w:rFonts w:hint="default" w:ascii="Times New Roman" w:hAnsi="Times New Roman" w:cs="Times New Roman"/>
          <w:caps/>
          <w:color w:val="auto"/>
          <w:sz w:val="24"/>
          <w:szCs w:val="24"/>
        </w:rPr>
        <w:t>（</w:t>
      </w:r>
      <w:r>
        <w:rPr>
          <w:rFonts w:hint="default" w:ascii="Times New Roman" w:hAnsi="Times New Roman" w:cs="Times New Roman"/>
          <w:color w:val="auto"/>
          <w:sz w:val="24"/>
          <w:szCs w:val="24"/>
        </w:rPr>
        <w:t>s/50±0.1g</w:t>
      </w:r>
      <w:r>
        <w:rPr>
          <w:rFonts w:hint="default" w:ascii="Times New Roman" w:hAnsi="Times New Roman" w:cs="Times New Roman"/>
          <w:caps/>
          <w:color w:val="auto"/>
          <w:sz w:val="24"/>
          <w:szCs w:val="24"/>
        </w:rPr>
        <w:t>）</w:t>
      </w:r>
      <w:r>
        <w:rPr>
          <w:rFonts w:hint="eastAsia" w:cs="Times New Roman"/>
          <w:caps/>
          <w:color w:val="auto"/>
          <w:sz w:val="24"/>
          <w:szCs w:val="24"/>
          <w:lang w:eastAsia="zh-CN"/>
        </w:rPr>
        <w:t>、</w:t>
      </w:r>
      <w:r>
        <w:rPr>
          <w:rFonts w:hint="default" w:ascii="Times New Roman" w:hAnsi="Times New Roman" w:cs="Times New Roman"/>
          <w:color w:val="auto"/>
          <w:sz w:val="24"/>
          <w:szCs w:val="24"/>
        </w:rPr>
        <w:t>17.</w:t>
      </w:r>
      <w:r>
        <w:rPr>
          <w:rFonts w:hint="eastAsia" w:cs="Times New Roman"/>
          <w:color w:val="auto"/>
          <w:sz w:val="24"/>
          <w:szCs w:val="24"/>
          <w:lang w:val="en-US" w:eastAsia="zh-CN"/>
        </w:rPr>
        <w:t>42</w:t>
      </w:r>
      <w:r>
        <w:rPr>
          <w:rFonts w:hint="default" w:ascii="Times New Roman" w:hAnsi="Times New Roman" w:cs="Times New Roman"/>
          <w:caps/>
          <w:color w:val="auto"/>
          <w:sz w:val="24"/>
          <w:szCs w:val="24"/>
        </w:rPr>
        <w:t>（</w:t>
      </w:r>
      <w:r>
        <w:rPr>
          <w:rFonts w:hint="default" w:ascii="Times New Roman" w:hAnsi="Times New Roman" w:cs="Times New Roman"/>
          <w:color w:val="auto"/>
          <w:sz w:val="24"/>
          <w:szCs w:val="24"/>
        </w:rPr>
        <w:t>s/50±0.1g</w:t>
      </w:r>
      <w:r>
        <w:rPr>
          <w:rFonts w:hint="default" w:ascii="Times New Roman" w:hAnsi="Times New Roman" w:cs="Times New Roman"/>
          <w:caps/>
          <w:color w:val="auto"/>
          <w:sz w:val="24"/>
          <w:szCs w:val="24"/>
        </w:rPr>
        <w:t>）</w:t>
      </w:r>
      <w:r>
        <w:rPr>
          <w:rFonts w:hint="eastAsia" w:cs="Times New Roman"/>
          <w:caps/>
          <w:color w:val="auto"/>
          <w:sz w:val="24"/>
          <w:szCs w:val="24"/>
          <w:lang w:eastAsia="zh-CN"/>
        </w:rPr>
        <w:t>、</w:t>
      </w:r>
      <w:r>
        <w:rPr>
          <w:rFonts w:hint="default" w:ascii="Times New Roman" w:hAnsi="Times New Roman" w:cs="Times New Roman"/>
          <w:color w:val="auto"/>
          <w:sz w:val="24"/>
          <w:szCs w:val="24"/>
        </w:rPr>
        <w:t>17.</w:t>
      </w:r>
      <w:r>
        <w:rPr>
          <w:rFonts w:hint="eastAsia" w:cs="Times New Roman"/>
          <w:color w:val="auto"/>
          <w:sz w:val="24"/>
          <w:szCs w:val="24"/>
          <w:lang w:val="en-US" w:eastAsia="zh-CN"/>
        </w:rPr>
        <w:t>1</w:t>
      </w:r>
      <w:r>
        <w:rPr>
          <w:rFonts w:hint="default" w:ascii="Times New Roman" w:hAnsi="Times New Roman" w:cs="Times New Roman"/>
          <w:color w:val="auto"/>
          <w:sz w:val="24"/>
          <w:szCs w:val="24"/>
        </w:rPr>
        <w:t>9</w:t>
      </w:r>
      <w:r>
        <w:rPr>
          <w:rFonts w:hint="default" w:ascii="Times New Roman" w:hAnsi="Times New Roman" w:cs="Times New Roman"/>
          <w:caps/>
          <w:color w:val="auto"/>
          <w:sz w:val="24"/>
          <w:szCs w:val="24"/>
        </w:rPr>
        <w:t>（</w:t>
      </w:r>
      <w:r>
        <w:rPr>
          <w:rFonts w:hint="default" w:ascii="Times New Roman" w:hAnsi="Times New Roman" w:cs="Times New Roman"/>
          <w:color w:val="auto"/>
          <w:sz w:val="24"/>
          <w:szCs w:val="24"/>
        </w:rPr>
        <w:t>s/50±0.1g</w:t>
      </w:r>
      <w:r>
        <w:rPr>
          <w:rFonts w:hint="default" w:ascii="Times New Roman" w:hAnsi="Times New Roman" w:cs="Times New Roman"/>
          <w:caps/>
          <w:color w:val="auto"/>
          <w:sz w:val="24"/>
          <w:szCs w:val="24"/>
        </w:rPr>
        <w:t>）</w:t>
      </w:r>
      <w:r>
        <w:rPr>
          <w:rFonts w:hint="eastAsia" w:cs="Times New Roman"/>
          <w:caps/>
          <w:color w:val="auto"/>
          <w:sz w:val="24"/>
          <w:szCs w:val="24"/>
          <w:lang w:eastAsia="zh-CN"/>
        </w:rPr>
        <w:t>。</w:t>
      </w:r>
    </w:p>
    <w:p>
      <w:pPr>
        <w:keepNext w:val="0"/>
        <w:keepLines w:val="0"/>
        <w:pageBreakBefore w:val="0"/>
        <w:wordWrap/>
        <w:overflowPunct/>
        <w:topLinePunct w:val="0"/>
        <w:bidi w:val="0"/>
        <w:snapToGrid w:val="0"/>
        <w:spacing w:line="360" w:lineRule="auto"/>
        <w:ind w:firstLine="482" w:firstLineChars="200"/>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3.6 非金属夹杂物</w:t>
      </w:r>
    </w:p>
    <w:p>
      <w:pPr>
        <w:pStyle w:val="17"/>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ind w:leftChars="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产品中</w:t>
      </w:r>
      <w:r>
        <w:rPr>
          <w:rFonts w:hint="eastAsia" w:ascii="Times New Roman" w:hAnsi="Times New Roman" w:eastAsia="宋体" w:cs="Times New Roman"/>
          <w:color w:val="auto"/>
          <w:kern w:val="2"/>
          <w:sz w:val="24"/>
          <w:szCs w:val="24"/>
          <w:lang w:val="en-US" w:eastAsia="zh-CN" w:bidi="ar-SA"/>
        </w:rPr>
        <w:t>非金属夹杂物数量应不超过20个/ kg 。</w:t>
      </w:r>
    </w:p>
    <w:p>
      <w:pPr>
        <w:pStyle w:val="14"/>
        <w:rPr>
          <w:rFonts w:hint="default" w:eastAsia="宋体"/>
          <w:lang w:val="en-US" w:eastAsia="zh-CN"/>
        </w:rPr>
      </w:pPr>
      <w:r>
        <w:rPr>
          <w:rFonts w:hint="eastAsia" w:cs="Times New Roman"/>
          <w:color w:val="auto"/>
          <w:sz w:val="24"/>
          <w:szCs w:val="24"/>
          <w:lang w:val="en-US" w:eastAsia="zh-CN"/>
        </w:rPr>
        <w:t>实测</w:t>
      </w:r>
      <w:r>
        <w:rPr>
          <w:rFonts w:hint="eastAsia" w:ascii="Times New Roman" w:hAnsi="Times New Roman" w:cs="Times New Roman"/>
          <w:color w:val="auto"/>
          <w:sz w:val="24"/>
          <w:szCs w:val="24"/>
          <w:lang w:val="en-US" w:eastAsia="zh-CN"/>
        </w:rPr>
        <w:t>非金属夹杂物</w:t>
      </w:r>
      <w:r>
        <w:rPr>
          <w:rFonts w:hint="eastAsia" w:cs="Times New Roman"/>
          <w:color w:val="auto"/>
          <w:sz w:val="24"/>
          <w:szCs w:val="24"/>
          <w:lang w:val="en-US" w:eastAsia="zh-CN"/>
        </w:rPr>
        <w:t>为</w:t>
      </w:r>
      <w:r>
        <w:rPr>
          <w:rFonts w:hint="default" w:ascii="Times New Roman" w:hAnsi="Times New Roman" w:cs="Times New Roman"/>
          <w:color w:val="auto"/>
          <w:sz w:val="24"/>
          <w:szCs w:val="24"/>
        </w:rPr>
        <w:t xml:space="preserve"> </w:t>
      </w:r>
      <w:r>
        <w:rPr>
          <w:rFonts w:hint="eastAsia" w:ascii="Times New Roman" w:hAnsi="Times New Roman" w:cs="Times New Roman"/>
          <w:color w:val="auto"/>
          <w:sz w:val="24"/>
          <w:szCs w:val="24"/>
          <w:lang w:val="en-US" w:eastAsia="zh-CN"/>
        </w:rPr>
        <w:t>18</w:t>
      </w:r>
      <w:r>
        <w:rPr>
          <w:rFonts w:hint="eastAsia" w:ascii="Times New Roman" w:hAnsi="Times New Roman" w:eastAsia="宋体" w:cs="Times New Roman"/>
          <w:color w:val="auto"/>
          <w:kern w:val="2"/>
          <w:sz w:val="24"/>
          <w:szCs w:val="24"/>
          <w:lang w:val="en-US" w:eastAsia="zh-CN" w:bidi="ar-SA"/>
        </w:rPr>
        <w:t xml:space="preserve">个/ kg </w:t>
      </w:r>
      <w:r>
        <w:rPr>
          <w:rFonts w:hint="eastAsia" w:ascii="Times New Roman" w:hAnsi="Times New Roman" w:cs="Times New Roman"/>
          <w:color w:val="auto"/>
          <w:kern w:val="2"/>
          <w:sz w:val="24"/>
          <w:szCs w:val="24"/>
          <w:lang w:val="en-US" w:eastAsia="zh-CN" w:bidi="ar-SA"/>
        </w:rPr>
        <w:t>、</w:t>
      </w:r>
      <w:r>
        <w:rPr>
          <w:rFonts w:hint="default" w:ascii="Times New Roman" w:hAnsi="Times New Roman" w:cs="Times New Roman"/>
          <w:color w:val="auto"/>
          <w:sz w:val="24"/>
          <w:szCs w:val="24"/>
        </w:rPr>
        <w:t xml:space="preserve"> </w:t>
      </w:r>
      <w:r>
        <w:rPr>
          <w:rFonts w:hint="eastAsia" w:ascii="Times New Roman" w:hAnsi="Times New Roman" w:cs="Times New Roman"/>
          <w:color w:val="auto"/>
          <w:sz w:val="24"/>
          <w:szCs w:val="24"/>
          <w:lang w:val="en-US" w:eastAsia="zh-CN"/>
        </w:rPr>
        <w:t>17</w:t>
      </w:r>
      <w:r>
        <w:rPr>
          <w:rFonts w:hint="eastAsia" w:ascii="Times New Roman" w:hAnsi="Times New Roman" w:eastAsia="宋体" w:cs="Times New Roman"/>
          <w:color w:val="auto"/>
          <w:kern w:val="2"/>
          <w:sz w:val="24"/>
          <w:szCs w:val="24"/>
          <w:lang w:val="en-US" w:eastAsia="zh-CN" w:bidi="ar-SA"/>
        </w:rPr>
        <w:t xml:space="preserve">个/ kg </w:t>
      </w:r>
      <w:r>
        <w:rPr>
          <w:rFonts w:hint="eastAsia" w:ascii="Times New Roman" w:hAnsi="Times New Roman" w:cs="Times New Roman"/>
          <w:color w:val="auto"/>
          <w:kern w:val="2"/>
          <w:sz w:val="24"/>
          <w:szCs w:val="24"/>
          <w:lang w:val="en-US" w:eastAsia="zh-CN" w:bidi="ar-SA"/>
        </w:rPr>
        <w:t>、</w:t>
      </w:r>
      <w:r>
        <w:rPr>
          <w:rFonts w:hint="default" w:ascii="Times New Roman" w:hAnsi="Times New Roman" w:cs="Times New Roman"/>
          <w:color w:val="auto"/>
          <w:sz w:val="24"/>
          <w:szCs w:val="24"/>
        </w:rPr>
        <w:t xml:space="preserve"> </w:t>
      </w:r>
      <w:r>
        <w:rPr>
          <w:rFonts w:hint="eastAsia" w:ascii="Times New Roman" w:hAnsi="Times New Roman" w:cs="Times New Roman"/>
          <w:color w:val="auto"/>
          <w:sz w:val="24"/>
          <w:szCs w:val="24"/>
          <w:lang w:val="en-US" w:eastAsia="zh-CN"/>
        </w:rPr>
        <w:t>16</w:t>
      </w:r>
      <w:r>
        <w:rPr>
          <w:rFonts w:hint="eastAsia" w:ascii="Times New Roman" w:hAnsi="Times New Roman" w:eastAsia="宋体" w:cs="Times New Roman"/>
          <w:color w:val="auto"/>
          <w:kern w:val="2"/>
          <w:sz w:val="24"/>
          <w:szCs w:val="24"/>
          <w:lang w:val="en-US" w:eastAsia="zh-CN" w:bidi="ar-SA"/>
        </w:rPr>
        <w:t>个/ kg</w:t>
      </w:r>
      <w:r>
        <w:rPr>
          <w:rFonts w:hint="eastAsia" w:ascii="Times New Roman" w:hAnsi="Times New Roman" w:cs="Times New Roman"/>
          <w:color w:val="auto"/>
          <w:kern w:val="2"/>
          <w:sz w:val="24"/>
          <w:szCs w:val="24"/>
          <w:lang w:val="en-US" w:eastAsia="zh-CN" w:bidi="ar-SA"/>
        </w:rPr>
        <w:t xml:space="preserve"> 。</w:t>
      </w:r>
    </w:p>
    <w:p>
      <w:pPr>
        <w:keepNext w:val="0"/>
        <w:keepLines w:val="0"/>
        <w:pageBreakBefore w:val="0"/>
        <w:wordWrap/>
        <w:overflowPunct/>
        <w:topLinePunct w:val="0"/>
        <w:bidi w:val="0"/>
        <w:snapToGrid w:val="0"/>
        <w:spacing w:line="360" w:lineRule="auto"/>
        <w:ind w:firstLine="482" w:firstLineChars="200"/>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3.7 外观质量</w:t>
      </w:r>
    </w:p>
    <w:p>
      <w:pPr>
        <w:ind w:firstLine="435"/>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产品应呈自然金属光泽，无其他颜色混杂；产品应洁净、干燥、均匀，不得有结块及目视可见的外来夹杂物。</w:t>
      </w:r>
    </w:p>
    <w:p>
      <w:pPr>
        <w:keepNext w:val="0"/>
        <w:keepLines w:val="0"/>
        <w:pageBreakBefore w:val="0"/>
        <w:wordWrap/>
        <w:overflowPunct/>
        <w:topLinePunct w:val="0"/>
        <w:bidi w:val="0"/>
        <w:snapToGrid w:val="0"/>
        <w:spacing w:line="360" w:lineRule="auto"/>
        <w:ind w:firstLine="482" w:firstLineChars="200"/>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3.8 其他</w:t>
      </w:r>
    </w:p>
    <w:p>
      <w:pPr>
        <w:ind w:firstLine="435"/>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需方对产品粒度分布、球形率及空心粉率有要求时，由供需双方协商确定，并在订货单中注明。</w:t>
      </w:r>
    </w:p>
    <w:p>
      <w:pPr>
        <w:keepNext w:val="0"/>
        <w:keepLines w:val="0"/>
        <w:pageBreakBefore w:val="0"/>
        <w:wordWrap/>
        <w:overflowPunct/>
        <w:topLinePunct w:val="0"/>
        <w:bidi w:val="0"/>
        <w:spacing w:line="360" w:lineRule="auto"/>
        <w:ind w:firstLine="420"/>
        <w:rPr>
          <w:rFonts w:hint="eastAsia"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产品粒度分布按GB/T 19077的规定进行，球形率按YS/T 1297的规定进行，也可由供需双方协商确定</w:t>
      </w:r>
      <w:r>
        <w:rPr>
          <w:rFonts w:hint="eastAsia"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kern w:val="0"/>
          <w:sz w:val="24"/>
          <w:szCs w:val="24"/>
          <w:lang w:val="en-US" w:eastAsia="zh-CN" w:bidi="ar-SA"/>
        </w:rPr>
        <w:t>空心粉率按GB/T 41978的规定进行。</w:t>
      </w:r>
    </w:p>
    <w:p>
      <w:pPr>
        <w:pStyle w:val="14"/>
        <w:keepNext w:val="0"/>
        <w:keepLines w:val="0"/>
        <w:pageBreakBefore w:val="0"/>
        <w:wordWrap/>
        <w:overflowPunct/>
        <w:topLinePunct w:val="0"/>
        <w:bidi w:val="0"/>
        <w:spacing w:line="360" w:lineRule="auto"/>
        <w:ind w:firstLine="482"/>
        <w:rPr>
          <w:rFonts w:hint="default" w:ascii="Times New Roman" w:hAnsi="Times New Roman" w:eastAsia="宋体" w:cs="Times New Roman"/>
          <w:b/>
          <w:color w:val="auto"/>
          <w:sz w:val="24"/>
          <w:szCs w:val="24"/>
        </w:rPr>
      </w:pPr>
      <w:r>
        <w:rPr>
          <w:rFonts w:hint="default" w:ascii="黑体" w:hAnsi="黑体" w:eastAsia="黑体" w:cs="黑体"/>
          <w:b w:val="0"/>
          <w:bCs w:val="0"/>
          <w:color w:val="auto"/>
          <w:kern w:val="2"/>
          <w:sz w:val="24"/>
          <w:szCs w:val="24"/>
          <w:lang w:val="en-US" w:eastAsia="zh-CN" w:bidi="ar-SA"/>
        </w:rPr>
        <w:t>四、知识产权情况说明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kern w:val="0"/>
          <w:sz w:val="24"/>
          <w:szCs w:val="24"/>
        </w:rPr>
      </w:pPr>
      <w:r>
        <w:rPr>
          <w:rFonts w:hint="default" w:ascii="Times New Roman" w:hAnsi="Times New Roman" w:eastAsia="宋体" w:cs="Times New Roman"/>
          <w:color w:val="auto"/>
          <w:kern w:val="2"/>
          <w:sz w:val="24"/>
          <w:szCs w:val="24"/>
          <w:lang w:val="en-US" w:eastAsia="zh-CN" w:bidi="ar-SA"/>
        </w:rPr>
        <w:t>本标准不涉及专利。</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rPr>
      </w:pPr>
      <w:r>
        <w:rPr>
          <w:rFonts w:hint="default" w:ascii="黑体" w:hAnsi="黑体" w:eastAsia="黑体" w:cs="黑体"/>
          <w:b w:val="0"/>
          <w:bCs w:val="0"/>
          <w:color w:val="auto"/>
          <w:kern w:val="2"/>
          <w:sz w:val="24"/>
          <w:szCs w:val="24"/>
          <w:lang w:val="en-US" w:eastAsia="zh-CN" w:bidi="ar-SA"/>
        </w:rPr>
        <w:t>五、产业化情况、推广应用论证和预期达到的经济效果</w:t>
      </w: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cs="Times New Roman"/>
          <w:color w:val="auto"/>
          <w:kern w:val="2"/>
          <w:sz w:val="24"/>
          <w:szCs w:val="24"/>
        </w:rPr>
      </w:pPr>
      <w:r>
        <w:rPr>
          <w:rFonts w:hint="default" w:ascii="Times New Roman" w:hAnsi="Times New Roman" w:cs="Times New Roman"/>
          <w:color w:val="auto"/>
          <w:sz w:val="24"/>
          <w:szCs w:val="24"/>
        </w:rPr>
        <w:t>GH4738合金是一种高温合金，主要应用于航空航天、发电设备和石油化工等高温环境下的重要零部件。</w:t>
      </w:r>
      <w:r>
        <w:rPr>
          <w:rFonts w:hint="default" w:ascii="Times New Roman" w:hAnsi="Times New Roman" w:cs="Times New Roman"/>
          <w:color w:val="auto"/>
          <w:kern w:val="2"/>
          <w:sz w:val="24"/>
          <w:szCs w:val="24"/>
        </w:rPr>
        <w:t>随着增材制造技术在航空航天、医疗、汽车和模具制造等高端制造领域的应用日益广泛，市场对高性能、高可靠性的GH4738</w:t>
      </w:r>
      <w:r>
        <w:rPr>
          <w:rFonts w:hint="eastAsia" w:cs="Times New Roman"/>
          <w:color w:val="auto"/>
          <w:kern w:val="2"/>
          <w:sz w:val="24"/>
          <w:szCs w:val="24"/>
          <w:lang w:eastAsia="zh-CN"/>
        </w:rPr>
        <w:t>合金粉末</w:t>
      </w:r>
      <w:r>
        <w:rPr>
          <w:rFonts w:hint="default" w:ascii="Times New Roman" w:hAnsi="Times New Roman" w:cs="Times New Roman"/>
          <w:color w:val="auto"/>
          <w:kern w:val="2"/>
          <w:sz w:val="24"/>
          <w:szCs w:val="24"/>
        </w:rPr>
        <w:t>需求持续增长。GH4738</w:t>
      </w:r>
      <w:r>
        <w:rPr>
          <w:rFonts w:hint="eastAsia" w:cs="Times New Roman"/>
          <w:color w:val="auto"/>
          <w:kern w:val="2"/>
          <w:sz w:val="24"/>
          <w:szCs w:val="24"/>
          <w:lang w:eastAsia="zh-CN"/>
        </w:rPr>
        <w:t>合金粉末</w:t>
      </w:r>
      <w:r>
        <w:rPr>
          <w:rFonts w:hint="default" w:ascii="Times New Roman" w:hAnsi="Times New Roman" w:cs="Times New Roman"/>
          <w:color w:val="auto"/>
          <w:kern w:val="2"/>
          <w:sz w:val="24"/>
          <w:szCs w:val="24"/>
        </w:rPr>
        <w:t>不仅应用于航空航天（制造涡轮叶片、燃烧室等高温高应力部件），还有医疗、汽车领域（特别是在需要高强度和耐腐蚀性能的部件）。</w:t>
      </w:r>
    </w:p>
    <w:p>
      <w:pPr>
        <w:keepNext w:val="0"/>
        <w:keepLines w:val="0"/>
        <w:pageBreakBefore w:val="0"/>
        <w:wordWrap/>
        <w:overflowPunct/>
        <w:topLinePunct w:val="0"/>
        <w:bidi w:val="0"/>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增材制造用GH4738</w:t>
      </w:r>
      <w:r>
        <w:rPr>
          <w:rFonts w:hint="eastAsia" w:cs="Times New Roman"/>
          <w:color w:val="auto"/>
          <w:sz w:val="24"/>
          <w:szCs w:val="24"/>
          <w:lang w:eastAsia="zh-CN"/>
        </w:rPr>
        <w:t>合金粉末</w:t>
      </w:r>
      <w:r>
        <w:rPr>
          <w:rFonts w:hint="default" w:ascii="Times New Roman" w:hAnsi="Times New Roman" w:cs="Times New Roman"/>
          <w:color w:val="auto"/>
          <w:sz w:val="24"/>
          <w:szCs w:val="24"/>
        </w:rPr>
        <w:t>标准的制定将推动该材料在航空航天、医疗、模具制造等领域的广泛应用，预计相关市场规模将持续扩大。根据市场调研，标准化后GH4738合金粉末的生产和应用每年可为制造企业节约10%-20%的生产成本，提高产品附加值，带来显著的经济效益。</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rPr>
        <w:t>增材制造用GH4738</w:t>
      </w:r>
      <w:r>
        <w:rPr>
          <w:rFonts w:hint="eastAsia" w:ascii="Times New Roman" w:cs="Times New Roman"/>
          <w:color w:val="auto"/>
          <w:kern w:val="2"/>
          <w:sz w:val="24"/>
          <w:szCs w:val="24"/>
          <w:lang w:eastAsia="zh-CN"/>
        </w:rPr>
        <w:t>合金粉末</w:t>
      </w:r>
      <w:r>
        <w:rPr>
          <w:rFonts w:hint="default" w:ascii="Times New Roman" w:hAnsi="Times New Roman" w:cs="Times New Roman"/>
          <w:color w:val="auto"/>
          <w:kern w:val="2"/>
          <w:sz w:val="24"/>
          <w:szCs w:val="24"/>
        </w:rPr>
        <w:t>标准的产业化和推广应用将带来显著的经济效益和社会效益。通过提升生产效率、降低成本、提高产品附加值和市场竞争力，促进高端制造业的发展，并创造大量就业机会和环境效益。这一标准的实施将有力推动增材制造技术的广泛应用和产业升级。</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rPr>
      </w:pPr>
      <w:r>
        <w:rPr>
          <w:rFonts w:hint="default" w:ascii="黑体" w:hAnsi="黑体" w:eastAsia="黑体" w:cs="黑体"/>
          <w:b w:val="0"/>
          <w:bCs w:val="0"/>
          <w:color w:val="auto"/>
          <w:kern w:val="2"/>
          <w:sz w:val="24"/>
          <w:szCs w:val="24"/>
          <w:lang w:val="en-US" w:eastAsia="zh-CN" w:bidi="ar-SA"/>
        </w:rPr>
        <w:t>六、国内外标准（包括国际标准和国外先进标准）对比</w:t>
      </w:r>
    </w:p>
    <w:p>
      <w:pPr>
        <w:keepNext w:val="0"/>
        <w:keepLines w:val="0"/>
        <w:pageBreakBefore w:val="0"/>
        <w:wordWrap/>
        <w:overflowPunct/>
        <w:topLinePunct w:val="0"/>
        <w:bidi w:val="0"/>
        <w:spacing w:line="360" w:lineRule="auto"/>
        <w:ind w:firstLine="552" w:firstLineChars="230"/>
        <w:rPr>
          <w:rFonts w:hint="default" w:ascii="Times New Roman" w:hAnsi="Times New Roman" w:cs="Times New Roman"/>
          <w:color w:val="auto"/>
          <w:sz w:val="24"/>
          <w:szCs w:val="24"/>
        </w:rPr>
      </w:pPr>
      <w:r>
        <w:rPr>
          <w:rFonts w:hint="default" w:ascii="Times New Roman" w:hAnsi="Times New Roman" w:cs="Times New Roman"/>
          <w:kern w:val="0"/>
          <w:sz w:val="24"/>
          <w:szCs w:val="24"/>
          <w:lang w:val="en-US" w:eastAsia="zh-CN"/>
        </w:rPr>
        <w:t>本文件为</w:t>
      </w:r>
      <w:r>
        <w:rPr>
          <w:rFonts w:hint="default" w:ascii="Times New Roman" w:hAnsi="Times New Roman" w:cs="Times New Roman"/>
          <w:color w:val="auto"/>
          <w:sz w:val="24"/>
          <w:szCs w:val="24"/>
        </w:rPr>
        <w:t>增材制造 激光粉末床熔融用GH4738粉末</w:t>
      </w:r>
      <w:bookmarkStart w:id="3" w:name="_GoBack"/>
      <w:bookmarkEnd w:id="3"/>
      <w:r>
        <w:rPr>
          <w:rFonts w:hint="default" w:ascii="Times New Roman" w:hAnsi="Times New Roman" w:cs="Times New Roman"/>
          <w:kern w:val="0"/>
          <w:sz w:val="24"/>
          <w:szCs w:val="24"/>
          <w:lang w:val="en-US" w:eastAsia="zh-CN"/>
        </w:rPr>
        <w:t>第一份标准</w:t>
      </w:r>
      <w:r>
        <w:rPr>
          <w:rFonts w:hint="default" w:ascii="Times New Roman" w:hAnsi="Times New Roman" w:cs="Times New Roman"/>
          <w:color w:val="auto"/>
          <w:sz w:val="24"/>
          <w:szCs w:val="24"/>
        </w:rPr>
        <w:t>。</w:t>
      </w:r>
    </w:p>
    <w:p>
      <w:pPr>
        <w:pStyle w:val="14"/>
        <w:keepNext w:val="0"/>
        <w:keepLines w:val="0"/>
        <w:pageBreakBefore w:val="0"/>
        <w:wordWrap/>
        <w:overflowPunct/>
        <w:topLinePunct w:val="0"/>
        <w:bidi w:val="0"/>
        <w:spacing w:line="360" w:lineRule="auto"/>
        <w:ind w:firstLine="482"/>
        <w:rPr>
          <w:rFonts w:hint="default" w:ascii="黑体" w:hAnsi="黑体" w:eastAsia="黑体" w:cs="黑体"/>
          <w:b w:val="0"/>
          <w:bCs w:val="0"/>
          <w:color w:val="auto"/>
          <w:kern w:val="2"/>
          <w:sz w:val="24"/>
          <w:szCs w:val="24"/>
          <w:lang w:val="en-US" w:eastAsia="zh-CN" w:bidi="ar-SA"/>
        </w:rPr>
      </w:pPr>
      <w:r>
        <w:rPr>
          <w:rFonts w:hint="default" w:ascii="黑体" w:hAnsi="黑体" w:eastAsia="黑体" w:cs="黑体"/>
          <w:b w:val="0"/>
          <w:bCs w:val="0"/>
          <w:color w:val="auto"/>
          <w:kern w:val="2"/>
          <w:sz w:val="24"/>
          <w:szCs w:val="24"/>
          <w:lang w:val="en-US" w:eastAsia="zh-CN" w:bidi="ar-SA"/>
        </w:rPr>
        <w:t>七、与现行相关法律、法规、规章及相关标准的协调性</w:t>
      </w:r>
    </w:p>
    <w:p>
      <w:pPr>
        <w:keepNext w:val="0"/>
        <w:keepLines w:val="0"/>
        <w:pageBreakBefore w:val="0"/>
        <w:wordWrap/>
        <w:overflowPunct/>
        <w:topLinePunct w:val="0"/>
        <w:bidi w:val="0"/>
        <w:spacing w:line="360" w:lineRule="auto"/>
        <w:ind w:firstLine="482"/>
        <w:rPr>
          <w:rFonts w:hint="default" w:ascii="Times New Roman" w:hAnsi="Times New Roman" w:eastAsia="楷体_GB2312" w:cs="Times New Roman"/>
          <w:color w:val="auto"/>
          <w:sz w:val="24"/>
          <w:szCs w:val="24"/>
          <w:lang w:val="en-US"/>
        </w:rPr>
      </w:pPr>
      <w:r>
        <w:rPr>
          <w:rFonts w:hint="default" w:ascii="Times New Roman" w:hAnsi="Times New Roman" w:cs="Times New Roman"/>
          <w:kern w:val="0"/>
          <w:sz w:val="24"/>
          <w:szCs w:val="24"/>
        </w:rPr>
        <w:t>本</w:t>
      </w:r>
      <w:r>
        <w:rPr>
          <w:rFonts w:hint="default" w:ascii="Times New Roman" w:hAnsi="Times New Roman" w:cs="Times New Roman"/>
          <w:kern w:val="0"/>
          <w:sz w:val="24"/>
          <w:szCs w:val="24"/>
          <w:lang w:val="en-US" w:eastAsia="zh-CN"/>
        </w:rPr>
        <w:t>文件与现行法律、法规和规章、强制性国家标准无冲突，与现有及制定中的标准协调配套，无交叉重复，能补充现有增材制造行业标准体系，填补增材制造用GH4738粉标准空白。</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rPr>
      </w:pPr>
      <w:r>
        <w:rPr>
          <w:rFonts w:hint="default" w:ascii="黑体" w:hAnsi="黑体" w:eastAsia="黑体" w:cs="黑体"/>
          <w:b w:val="0"/>
          <w:bCs w:val="0"/>
          <w:color w:val="auto"/>
          <w:kern w:val="2"/>
          <w:sz w:val="24"/>
          <w:szCs w:val="24"/>
          <w:lang w:val="en-US" w:eastAsia="zh-CN" w:bidi="ar-SA"/>
        </w:rPr>
        <w:t>八、重大分歧意见的处理经过和依据</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color w:val="auto"/>
          <w:sz w:val="24"/>
          <w:szCs w:val="24"/>
        </w:rPr>
      </w:pPr>
      <w:r>
        <w:rPr>
          <w:rFonts w:hint="default" w:ascii="Times New Roman" w:hAnsi="Times New Roman" w:cs="Times New Roman"/>
          <w:kern w:val="0"/>
          <w:sz w:val="24"/>
          <w:szCs w:val="24"/>
        </w:rPr>
        <w:t>本</w:t>
      </w:r>
      <w:r>
        <w:rPr>
          <w:rFonts w:hint="default" w:ascii="Times New Roman" w:hAnsi="Times New Roman" w:cs="Times New Roman"/>
          <w:kern w:val="0"/>
          <w:sz w:val="24"/>
          <w:szCs w:val="24"/>
          <w:lang w:val="en-US" w:eastAsia="zh-CN"/>
        </w:rPr>
        <w:t>文件</w:t>
      </w:r>
      <w:r>
        <w:rPr>
          <w:rFonts w:hint="default" w:ascii="Times New Roman" w:hAnsi="Times New Roman" w:cs="Times New Roman"/>
          <w:kern w:val="0"/>
          <w:sz w:val="24"/>
          <w:szCs w:val="24"/>
        </w:rPr>
        <w:t>在制定过程中无重大分歧意见</w:t>
      </w:r>
      <w:r>
        <w:rPr>
          <w:rFonts w:hint="default" w:ascii="Times New Roman" w:hAnsi="Times New Roman" w:cs="Times New Roman"/>
          <w:color w:val="auto"/>
          <w:sz w:val="24"/>
          <w:szCs w:val="24"/>
        </w:rPr>
        <w:t>。</w:t>
      </w:r>
    </w:p>
    <w:p>
      <w:pPr>
        <w:pStyle w:val="14"/>
        <w:keepNext w:val="0"/>
        <w:keepLines w:val="0"/>
        <w:pageBreakBefore w:val="0"/>
        <w:wordWrap/>
        <w:overflowPunct/>
        <w:topLinePunct w:val="0"/>
        <w:bidi w:val="0"/>
        <w:spacing w:line="360" w:lineRule="auto"/>
        <w:ind w:firstLine="482"/>
        <w:rPr>
          <w:rFonts w:hint="default" w:ascii="黑体" w:hAnsi="黑体" w:eastAsia="黑体" w:cs="黑体"/>
          <w:b w:val="0"/>
          <w:bCs w:val="0"/>
          <w:color w:val="auto"/>
          <w:kern w:val="2"/>
          <w:sz w:val="24"/>
          <w:szCs w:val="24"/>
          <w:lang w:val="en-US" w:eastAsia="zh-CN" w:bidi="ar-SA"/>
        </w:rPr>
      </w:pPr>
      <w:r>
        <w:rPr>
          <w:rFonts w:hint="default" w:ascii="黑体" w:hAnsi="黑体" w:eastAsia="黑体" w:cs="黑体"/>
          <w:b w:val="0"/>
          <w:bCs w:val="0"/>
          <w:color w:val="auto"/>
          <w:kern w:val="2"/>
          <w:sz w:val="24"/>
          <w:szCs w:val="24"/>
          <w:lang w:val="en-US" w:eastAsia="zh-CN" w:bidi="ar-SA"/>
        </w:rPr>
        <w:t>九、贯彻标准的要求和措施建议</w:t>
      </w:r>
    </w:p>
    <w:p>
      <w:pPr>
        <w:pStyle w:val="14"/>
        <w:keepNext w:val="0"/>
        <w:keepLines w:val="0"/>
        <w:pageBreakBefore w:val="0"/>
        <w:wordWrap/>
        <w:overflowPunct/>
        <w:topLinePunct w:val="0"/>
        <w:bidi w:val="0"/>
        <w:spacing w:line="360" w:lineRule="auto"/>
        <w:ind w:firstLine="480"/>
        <w:rPr>
          <w:rFonts w:hint="default" w:ascii="Times New Roman" w:hAnsi="Times New Roman" w:eastAsia="宋体" w:cs="Times New Roman"/>
          <w:color w:val="auto"/>
          <w:sz w:val="24"/>
          <w:szCs w:val="24"/>
          <w:lang w:eastAsia="zh-CN"/>
        </w:rPr>
      </w:pPr>
      <w:r>
        <w:rPr>
          <w:rFonts w:hint="default" w:ascii="Times New Roman" w:hAnsi="Times New Roman" w:cs="Times New Roman"/>
          <w:sz w:val="24"/>
          <w:szCs w:val="24"/>
        </w:rPr>
        <w:t>可积极向相关厂家及国内外用户推荐采用本标准。建议发布后6个月实施</w:t>
      </w:r>
      <w:r>
        <w:rPr>
          <w:rFonts w:hint="default" w:ascii="Times New Roman" w:hAnsi="Times New Roman" w:eastAsia="宋体" w:cs="Times New Roman"/>
          <w:color w:val="auto"/>
          <w:sz w:val="24"/>
          <w:szCs w:val="24"/>
          <w:lang w:eastAsia="zh-CN"/>
        </w:rPr>
        <w:t>。</w:t>
      </w:r>
    </w:p>
    <w:p>
      <w:pPr>
        <w:pStyle w:val="14"/>
        <w:keepNext w:val="0"/>
        <w:keepLines w:val="0"/>
        <w:pageBreakBefore w:val="0"/>
        <w:wordWrap/>
        <w:overflowPunct/>
        <w:topLinePunct w:val="0"/>
        <w:bidi w:val="0"/>
        <w:spacing w:line="360" w:lineRule="auto"/>
        <w:ind w:firstLine="482"/>
        <w:rPr>
          <w:rFonts w:hint="default" w:ascii="Times New Roman" w:hAnsi="Times New Roman" w:cs="Times New Roman"/>
          <w:b/>
          <w:color w:val="auto"/>
          <w:sz w:val="24"/>
          <w:szCs w:val="24"/>
        </w:rPr>
      </w:pPr>
      <w:r>
        <w:rPr>
          <w:rFonts w:hint="default" w:ascii="黑体" w:hAnsi="黑体" w:eastAsia="黑体" w:cs="黑体"/>
          <w:b w:val="0"/>
          <w:bCs w:val="0"/>
          <w:color w:val="auto"/>
          <w:kern w:val="2"/>
          <w:sz w:val="24"/>
          <w:szCs w:val="24"/>
          <w:lang w:val="en-US" w:eastAsia="zh-CN" w:bidi="ar-SA"/>
        </w:rPr>
        <w:t>十、替代或废止现行相关标准的建议</w:t>
      </w:r>
    </w:p>
    <w:p>
      <w:pPr>
        <w:pStyle w:val="14"/>
        <w:keepNext w:val="0"/>
        <w:keepLines w:val="0"/>
        <w:pageBreakBefore w:val="0"/>
        <w:wordWrap/>
        <w:overflowPunct/>
        <w:topLinePunct w:val="0"/>
        <w:bidi w:val="0"/>
        <w:spacing w:line="360" w:lineRule="auto"/>
        <w:rPr>
          <w:rFonts w:hint="default" w:ascii="Times New Roman" w:hAnsi="Times New Roman" w:eastAsia="宋体" w:cs="Times New Roman"/>
          <w:color w:val="auto"/>
          <w:sz w:val="24"/>
          <w:szCs w:val="24"/>
          <w:lang w:eastAsia="zh-CN"/>
        </w:rPr>
      </w:pPr>
      <w:r>
        <w:rPr>
          <w:rFonts w:hint="default" w:ascii="Times New Roman" w:hAnsi="Times New Roman" w:cs="Times New Roman"/>
          <w:sz w:val="24"/>
          <w:szCs w:val="24"/>
        </w:rPr>
        <w:t>无</w:t>
      </w:r>
      <w:r>
        <w:rPr>
          <w:rFonts w:hint="default" w:ascii="Times New Roman" w:hAnsi="Times New Roman" w:cs="Times New Roman"/>
          <w:sz w:val="24"/>
          <w:szCs w:val="24"/>
          <w:lang w:eastAsia="zh-CN"/>
        </w:rPr>
        <w:t>。</w:t>
      </w:r>
    </w:p>
    <w:p>
      <w:pPr>
        <w:pStyle w:val="14"/>
        <w:keepNext w:val="0"/>
        <w:keepLines w:val="0"/>
        <w:pageBreakBefore w:val="0"/>
        <w:wordWrap/>
        <w:overflowPunct/>
        <w:topLinePunct w:val="0"/>
        <w:bidi w:val="0"/>
        <w:spacing w:line="360" w:lineRule="auto"/>
        <w:ind w:firstLine="482"/>
        <w:rPr>
          <w:rFonts w:hint="default" w:ascii="黑体" w:hAnsi="黑体" w:eastAsia="黑体" w:cs="黑体"/>
          <w:b w:val="0"/>
          <w:bCs w:val="0"/>
          <w:color w:val="auto"/>
          <w:kern w:val="2"/>
          <w:sz w:val="24"/>
          <w:szCs w:val="24"/>
          <w:lang w:val="en-US" w:eastAsia="zh-CN" w:bidi="ar-SA"/>
        </w:rPr>
      </w:pPr>
      <w:r>
        <w:rPr>
          <w:rFonts w:hint="default" w:ascii="黑体" w:hAnsi="黑体" w:eastAsia="黑体" w:cs="黑体"/>
          <w:b w:val="0"/>
          <w:bCs w:val="0"/>
          <w:color w:val="auto"/>
          <w:kern w:val="2"/>
          <w:sz w:val="24"/>
          <w:szCs w:val="24"/>
          <w:lang w:val="en-US" w:eastAsia="zh-CN" w:bidi="ar-SA"/>
        </w:rPr>
        <w:t>十一、其它应予说明的事项</w:t>
      </w:r>
    </w:p>
    <w:p>
      <w:pPr>
        <w:pStyle w:val="14"/>
        <w:keepNext w:val="0"/>
        <w:keepLines w:val="0"/>
        <w:pageBreakBefore w:val="0"/>
        <w:wordWrap/>
        <w:overflowPunct/>
        <w:topLinePunct w:val="0"/>
        <w:bidi w:val="0"/>
        <w:spacing w:line="360" w:lineRule="auto"/>
        <w:ind w:firstLine="480"/>
        <w:rPr>
          <w:rFonts w:hint="default" w:ascii="Times New Roman" w:hAnsi="Times New Roman" w:cs="Times New Roman"/>
          <w:color w:val="auto"/>
          <w:sz w:val="24"/>
          <w:szCs w:val="24"/>
        </w:rPr>
      </w:pPr>
      <w:r>
        <w:rPr>
          <w:rFonts w:hint="default" w:ascii="Times New Roman" w:hAnsi="Times New Roman" w:cs="Times New Roman"/>
          <w:sz w:val="24"/>
          <w:szCs w:val="24"/>
        </w:rPr>
        <w:t>无</w:t>
      </w:r>
      <w:r>
        <w:rPr>
          <w:rFonts w:hint="default" w:ascii="Times New Roman" w:hAnsi="Times New Roman" w:cs="Times New Roman"/>
          <w:sz w:val="24"/>
          <w:szCs w:val="24"/>
          <w:lang w:eastAsia="zh-CN"/>
        </w:rPr>
        <w:t>。</w:t>
      </w:r>
    </w:p>
    <w:p>
      <w:pPr>
        <w:keepNext w:val="0"/>
        <w:keepLines w:val="0"/>
        <w:pageBreakBefore w:val="0"/>
        <w:wordWrap/>
        <w:overflowPunct/>
        <w:topLinePunct w:val="0"/>
        <w:bidi w:val="0"/>
        <w:spacing w:line="360" w:lineRule="auto"/>
        <w:rPr>
          <w:rFonts w:hint="default" w:ascii="Times New Roman" w:hAnsi="Times New Roman" w:cs="Times New Roman"/>
          <w:color w:val="auto"/>
          <w:sz w:val="24"/>
          <w:szCs w:val="24"/>
        </w:rPr>
      </w:pPr>
    </w:p>
    <w:p>
      <w:pPr>
        <w:keepNext w:val="0"/>
        <w:keepLines w:val="0"/>
        <w:pageBreakBefore w:val="0"/>
        <w:wordWrap/>
        <w:overflowPunct/>
        <w:topLinePunct w:val="0"/>
        <w:bidi w:val="0"/>
        <w:spacing w:line="360" w:lineRule="auto"/>
        <w:rPr>
          <w:rFonts w:hint="default" w:ascii="Times New Roman" w:hAnsi="Times New Roman" w:cs="Times New Roman"/>
          <w:color w:val="auto"/>
          <w:sz w:val="24"/>
          <w:szCs w:val="24"/>
        </w:rPr>
      </w:pPr>
    </w:p>
    <w:p>
      <w:pPr>
        <w:keepNext w:val="0"/>
        <w:keepLines w:val="0"/>
        <w:pageBreakBefore w:val="0"/>
        <w:wordWrap/>
        <w:overflowPunct/>
        <w:topLinePunct w:val="0"/>
        <w:bidi w:val="0"/>
        <w:spacing w:line="360" w:lineRule="auto"/>
        <w:rPr>
          <w:rFonts w:hint="default" w:ascii="Times New Roman" w:hAnsi="Times New Roman" w:cs="Times New Roman"/>
          <w:color w:val="auto"/>
          <w:sz w:val="24"/>
          <w:szCs w:val="24"/>
        </w:rPr>
      </w:pPr>
    </w:p>
    <w:p>
      <w:pPr>
        <w:keepNext w:val="0"/>
        <w:keepLines w:val="0"/>
        <w:pageBreakBefore w:val="0"/>
        <w:wordWrap/>
        <w:overflowPunct/>
        <w:topLinePunct w:val="0"/>
        <w:bidi w:val="0"/>
        <w:spacing w:line="360" w:lineRule="auto"/>
        <w:rPr>
          <w:rFonts w:hint="default" w:ascii="Times New Roman" w:hAnsi="Times New Roman" w:cs="Times New Roman"/>
          <w:color w:val="auto"/>
          <w:sz w:val="24"/>
          <w:szCs w:val="24"/>
        </w:rPr>
      </w:pPr>
    </w:p>
    <w:p>
      <w:pPr>
        <w:keepNext w:val="0"/>
        <w:keepLines w:val="0"/>
        <w:pageBreakBefore w:val="0"/>
        <w:wordWrap/>
        <w:overflowPunct/>
        <w:topLinePunct w:val="0"/>
        <w:bidi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     CPMA团体标准《</w:t>
      </w:r>
      <w:r>
        <w:rPr>
          <w:rFonts w:hint="default" w:ascii="Times New Roman" w:hAnsi="Times New Roman" w:cs="Times New Roman"/>
          <w:color w:val="auto"/>
          <w:sz w:val="24"/>
          <w:szCs w:val="24"/>
        </w:rPr>
        <w:t>增材制造 激光粉末床熔融用GH4738粉末</w:t>
      </w:r>
      <w:r>
        <w:rPr>
          <w:rFonts w:hint="default" w:ascii="Times New Roman" w:hAnsi="Times New Roman" w:cs="Times New Roman"/>
          <w:color w:val="auto"/>
          <w:sz w:val="24"/>
          <w:szCs w:val="24"/>
        </w:rPr>
        <w:t>》编制工作组</w:t>
      </w:r>
    </w:p>
    <w:p>
      <w:pPr>
        <w:keepNext w:val="0"/>
        <w:keepLines w:val="0"/>
        <w:pageBreakBefore w:val="0"/>
        <w:wordWrap/>
        <w:overflowPunct/>
        <w:topLinePunct w:val="0"/>
        <w:bidi w:val="0"/>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 xml:space="preserve">                              2024-</w:t>
      </w:r>
      <w:r>
        <w:rPr>
          <w:rFonts w:hint="eastAsia" w:cs="Times New Roman"/>
          <w:color w:val="auto"/>
          <w:sz w:val="24"/>
          <w:szCs w:val="24"/>
          <w:lang w:val="en-US" w:eastAsia="zh-CN"/>
        </w:rPr>
        <w:t>7</w:t>
      </w:r>
      <w:r>
        <w:rPr>
          <w:rFonts w:hint="default" w:ascii="Times New Roman" w:hAnsi="Times New Roman" w:cs="Times New Roman"/>
          <w:color w:val="auto"/>
          <w:sz w:val="24"/>
          <w:szCs w:val="24"/>
        </w:rPr>
        <w:t>-</w:t>
      </w:r>
      <w:r>
        <w:rPr>
          <w:rFonts w:hint="eastAsia" w:cs="Times New Roman"/>
          <w:color w:val="auto"/>
          <w:sz w:val="24"/>
          <w:szCs w:val="24"/>
          <w:lang w:val="en-US" w:eastAsia="zh-CN"/>
        </w:rPr>
        <w:t>7</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AED879"/>
    <w:multiLevelType w:val="singleLevel"/>
    <w:tmpl w:val="03AED879"/>
    <w:lvl w:ilvl="0" w:tentative="0">
      <w:start w:val="2"/>
      <w:numFmt w:val="decimal"/>
      <w:suff w:val="nothing"/>
      <w:lvlText w:val="%1）"/>
      <w:lvlJc w:val="left"/>
    </w:lvl>
  </w:abstractNum>
  <w:abstractNum w:abstractNumId="1">
    <w:nsid w:val="1FC91163"/>
    <w:multiLevelType w:val="multilevel"/>
    <w:tmpl w:val="1FC91163"/>
    <w:lvl w:ilvl="0" w:tentative="0">
      <w:start w:val="1"/>
      <w:numFmt w:val="decimal"/>
      <w:pStyle w:val="17"/>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46108"/>
    <w:rsid w:val="000079A5"/>
    <w:rsid w:val="0001147A"/>
    <w:rsid w:val="00021F9A"/>
    <w:rsid w:val="00022FC5"/>
    <w:rsid w:val="00023CBA"/>
    <w:rsid w:val="00045D61"/>
    <w:rsid w:val="00046160"/>
    <w:rsid w:val="00054329"/>
    <w:rsid w:val="00090610"/>
    <w:rsid w:val="000A1434"/>
    <w:rsid w:val="000E7141"/>
    <w:rsid w:val="00111BBD"/>
    <w:rsid w:val="0012398D"/>
    <w:rsid w:val="0014059C"/>
    <w:rsid w:val="00146108"/>
    <w:rsid w:val="00156BB0"/>
    <w:rsid w:val="00172C4F"/>
    <w:rsid w:val="0018706C"/>
    <w:rsid w:val="001F2374"/>
    <w:rsid w:val="00201FA6"/>
    <w:rsid w:val="00235A39"/>
    <w:rsid w:val="00270554"/>
    <w:rsid w:val="002A3E3E"/>
    <w:rsid w:val="002A5E21"/>
    <w:rsid w:val="002E5761"/>
    <w:rsid w:val="003151D9"/>
    <w:rsid w:val="003801D4"/>
    <w:rsid w:val="00380916"/>
    <w:rsid w:val="003B1829"/>
    <w:rsid w:val="003D3E99"/>
    <w:rsid w:val="003E2B28"/>
    <w:rsid w:val="00400A12"/>
    <w:rsid w:val="00415534"/>
    <w:rsid w:val="00431295"/>
    <w:rsid w:val="004358A5"/>
    <w:rsid w:val="00466998"/>
    <w:rsid w:val="004C0DBF"/>
    <w:rsid w:val="004D72B3"/>
    <w:rsid w:val="004E44EC"/>
    <w:rsid w:val="004E684F"/>
    <w:rsid w:val="004F222C"/>
    <w:rsid w:val="004F6FDC"/>
    <w:rsid w:val="0050048F"/>
    <w:rsid w:val="00507D01"/>
    <w:rsid w:val="00515047"/>
    <w:rsid w:val="0051688E"/>
    <w:rsid w:val="0053795F"/>
    <w:rsid w:val="0055025D"/>
    <w:rsid w:val="00580114"/>
    <w:rsid w:val="00580523"/>
    <w:rsid w:val="00584924"/>
    <w:rsid w:val="00590AF8"/>
    <w:rsid w:val="005C79C7"/>
    <w:rsid w:val="006C1DFE"/>
    <w:rsid w:val="006C669F"/>
    <w:rsid w:val="006E3D66"/>
    <w:rsid w:val="006F1EDF"/>
    <w:rsid w:val="00700A75"/>
    <w:rsid w:val="00702BC6"/>
    <w:rsid w:val="00721090"/>
    <w:rsid w:val="00770B0B"/>
    <w:rsid w:val="00771571"/>
    <w:rsid w:val="00780F9F"/>
    <w:rsid w:val="0078176E"/>
    <w:rsid w:val="007D3217"/>
    <w:rsid w:val="00842B69"/>
    <w:rsid w:val="0084730E"/>
    <w:rsid w:val="008B2E4E"/>
    <w:rsid w:val="009275AB"/>
    <w:rsid w:val="009444D7"/>
    <w:rsid w:val="009453C1"/>
    <w:rsid w:val="00957EBA"/>
    <w:rsid w:val="00986394"/>
    <w:rsid w:val="00993A3B"/>
    <w:rsid w:val="009B54F2"/>
    <w:rsid w:val="009C717C"/>
    <w:rsid w:val="00A101FB"/>
    <w:rsid w:val="00A230FA"/>
    <w:rsid w:val="00A30F29"/>
    <w:rsid w:val="00A4134E"/>
    <w:rsid w:val="00A41388"/>
    <w:rsid w:val="00A526A7"/>
    <w:rsid w:val="00A561C8"/>
    <w:rsid w:val="00A7563F"/>
    <w:rsid w:val="00AB1CF4"/>
    <w:rsid w:val="00AB40E2"/>
    <w:rsid w:val="00AC1698"/>
    <w:rsid w:val="00AE0B78"/>
    <w:rsid w:val="00B019D4"/>
    <w:rsid w:val="00B37F84"/>
    <w:rsid w:val="00B5238A"/>
    <w:rsid w:val="00B608BF"/>
    <w:rsid w:val="00B62B4F"/>
    <w:rsid w:val="00B67C71"/>
    <w:rsid w:val="00B830B0"/>
    <w:rsid w:val="00B8418B"/>
    <w:rsid w:val="00B97309"/>
    <w:rsid w:val="00BD0647"/>
    <w:rsid w:val="00BD73F5"/>
    <w:rsid w:val="00C250D0"/>
    <w:rsid w:val="00C355E9"/>
    <w:rsid w:val="00C35EBA"/>
    <w:rsid w:val="00C67A3D"/>
    <w:rsid w:val="00C86892"/>
    <w:rsid w:val="00C9632E"/>
    <w:rsid w:val="00CB1EA9"/>
    <w:rsid w:val="00CC54A0"/>
    <w:rsid w:val="00CE532F"/>
    <w:rsid w:val="00CE7343"/>
    <w:rsid w:val="00CF0D98"/>
    <w:rsid w:val="00CF3A91"/>
    <w:rsid w:val="00D27097"/>
    <w:rsid w:val="00D67120"/>
    <w:rsid w:val="00D7301C"/>
    <w:rsid w:val="00D805A4"/>
    <w:rsid w:val="00D90C32"/>
    <w:rsid w:val="00DC5EE4"/>
    <w:rsid w:val="00DC6894"/>
    <w:rsid w:val="00E2207C"/>
    <w:rsid w:val="00E30240"/>
    <w:rsid w:val="00E32589"/>
    <w:rsid w:val="00E35B44"/>
    <w:rsid w:val="00E81D0B"/>
    <w:rsid w:val="00EA7548"/>
    <w:rsid w:val="00ED445F"/>
    <w:rsid w:val="00EF17C4"/>
    <w:rsid w:val="00EF769C"/>
    <w:rsid w:val="00F044A2"/>
    <w:rsid w:val="00F07F37"/>
    <w:rsid w:val="00F11498"/>
    <w:rsid w:val="00F13219"/>
    <w:rsid w:val="00F26FE1"/>
    <w:rsid w:val="00F33880"/>
    <w:rsid w:val="00F44F8F"/>
    <w:rsid w:val="00FB7066"/>
    <w:rsid w:val="00FC24EC"/>
    <w:rsid w:val="00FC5268"/>
    <w:rsid w:val="00FF5256"/>
    <w:rsid w:val="04B861D8"/>
    <w:rsid w:val="05717B85"/>
    <w:rsid w:val="08B87F94"/>
    <w:rsid w:val="09861B72"/>
    <w:rsid w:val="15230DCD"/>
    <w:rsid w:val="1B1162E2"/>
    <w:rsid w:val="2C1A593C"/>
    <w:rsid w:val="315B74D9"/>
    <w:rsid w:val="3C984D27"/>
    <w:rsid w:val="43291AE8"/>
    <w:rsid w:val="4B7276C4"/>
    <w:rsid w:val="4E515B70"/>
    <w:rsid w:val="539D45B7"/>
    <w:rsid w:val="54105DF7"/>
    <w:rsid w:val="5F8D7DD2"/>
    <w:rsid w:val="606C68F3"/>
    <w:rsid w:val="628F3270"/>
    <w:rsid w:val="64AE55AD"/>
    <w:rsid w:val="6EB04E6C"/>
    <w:rsid w:val="78DA2C59"/>
    <w:rsid w:val="7AC1262F"/>
    <w:rsid w:val="7D060228"/>
    <w:rsid w:val="7FF951F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b/>
      <w:bCs/>
      <w:kern w:val="0"/>
      <w:sz w:val="28"/>
    </w:rPr>
  </w:style>
  <w:style w:type="paragraph" w:styleId="3">
    <w:name w:val="Balloon Text"/>
    <w:basedOn w:val="1"/>
    <w:link w:val="10"/>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
    <w:name w:val="Hyperlink"/>
    <w:unhideWhenUsed/>
    <w:qFormat/>
    <w:uiPriority w:val="99"/>
    <w:rPr>
      <w:color w:val="0000FF"/>
      <w:u w:val="single"/>
    </w:rPr>
  </w:style>
  <w:style w:type="character" w:customStyle="1" w:styleId="10">
    <w:name w:val="批注框文本 字符"/>
    <w:link w:val="3"/>
    <w:qFormat/>
    <w:uiPriority w:val="0"/>
    <w:rPr>
      <w:kern w:val="2"/>
      <w:sz w:val="18"/>
      <w:szCs w:val="18"/>
    </w:rPr>
  </w:style>
  <w:style w:type="character" w:customStyle="1" w:styleId="11">
    <w:name w:val="页脚 字符"/>
    <w:link w:val="4"/>
    <w:qFormat/>
    <w:uiPriority w:val="0"/>
    <w:rPr>
      <w:kern w:val="2"/>
      <w:sz w:val="18"/>
      <w:szCs w:val="18"/>
    </w:rPr>
  </w:style>
  <w:style w:type="character" w:customStyle="1" w:styleId="12">
    <w:name w:val="页眉 字符"/>
    <w:link w:val="5"/>
    <w:qFormat/>
    <w:uiPriority w:val="99"/>
    <w:rPr>
      <w:kern w:val="2"/>
      <w:sz w:val="18"/>
      <w:szCs w:val="18"/>
    </w:rPr>
  </w:style>
  <w:style w:type="paragraph" w:customStyle="1" w:styleId="13">
    <w:name w:val=" Char Char Char1 Char"/>
    <w:basedOn w:val="1"/>
    <w:qFormat/>
    <w:uiPriority w:val="0"/>
  </w:style>
  <w:style w:type="paragraph" w:customStyle="1" w:styleId="14">
    <w:name w:val="段"/>
    <w:link w:val="1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5">
    <w:name w:val="段 Char"/>
    <w:link w:val="14"/>
    <w:qFormat/>
    <w:uiPriority w:val="0"/>
    <w:rPr>
      <w:rFonts w:ascii="宋体"/>
      <w:sz w:val="21"/>
      <w:lang w:val="en-US" w:eastAsia="zh-CN" w:bidi="ar-SA"/>
    </w:rPr>
  </w:style>
  <w:style w:type="table" w:customStyle="1" w:styleId="16">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17">
    <w:name w:val="章标题"/>
    <w:next w:val="14"/>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7</Pages>
  <Words>3573</Words>
  <Characters>4456</Characters>
  <Lines>34</Lines>
  <Paragraphs>9</Paragraphs>
  <TotalTime>0</TotalTime>
  <ScaleCrop>false</ScaleCrop>
  <LinksUpToDate>false</LinksUpToDate>
  <CharactersWithSpaces>4555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2024-05-14T12:41:00Z</dcterms:created>
  <dc:creator>MC SYSTEM</dc:creator>
  <cp:lastModifiedBy>世界第一总攻大人</cp:lastModifiedBy>
  <cp:lastPrinted>2015-03-04T05:26:00Z</cp:lastPrinted>
  <dcterms:modified xsi:type="dcterms:W3CDTF">2024-07-07T14:31:47Z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E442A297FA9142F58FB4DA07AF0BB628_13</vt:lpwstr>
  </property>
</Properties>
</file>